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380"/>
        <w:gridCol w:w="3032"/>
        <w:gridCol w:w="2638"/>
        <w:gridCol w:w="789"/>
        <w:gridCol w:w="2471"/>
        <w:gridCol w:w="1858"/>
      </w:tblGrid>
      <w:tr w:rsidR="00ED0B65" w:rsidRPr="00472249" w14:paraId="46E878A0" w14:textId="77777777" w:rsidTr="3680656A">
        <w:trPr>
          <w:trHeight w:val="26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01EA" w14:textId="77777777" w:rsidR="00ED0B65" w:rsidRPr="00CF1D56" w:rsidRDefault="00ED0B6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bookmarkStart w:id="0" w:name="_Hlk136956028"/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ROLE Title: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4CF2" w14:textId="45405DC2" w:rsidR="00FB2A28" w:rsidRPr="00FB2A28" w:rsidRDefault="00702B56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Product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Manager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98B5" w14:textId="77777777" w:rsidR="00ED0B65" w:rsidRPr="00CF1D56" w:rsidRDefault="00ED0B6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DAte: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BD2" w14:textId="26C3A570" w:rsidR="00ED0B65" w:rsidRPr="00CF1D56" w:rsidRDefault="009A663F">
            <w:pPr>
              <w:pStyle w:val="Title"/>
              <w:jc w:val="left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November 2024</w:t>
            </w:r>
          </w:p>
        </w:tc>
      </w:tr>
      <w:tr w:rsidR="00ED0B65" w:rsidRPr="00472249" w14:paraId="580D1626" w14:textId="77777777" w:rsidTr="3680656A">
        <w:trPr>
          <w:trHeight w:val="27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7AF3" w14:textId="77777777" w:rsidR="00ED0B65" w:rsidRPr="00CF1D56" w:rsidRDefault="00ED0B6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GRADE: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9A89" w14:textId="6E5D1BDA" w:rsidR="00ED0B65" w:rsidRPr="004E4BAB" w:rsidRDefault="002D7DD9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6F0" w14:textId="77777777" w:rsidR="00ED0B65" w:rsidRPr="00CF1D56" w:rsidRDefault="00ED0B6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Business </w:t>
            </w:r>
            <w:smartTag w:uri="urn:schemas-microsoft-com:office:smarttags" w:element="stockticker">
              <w:r w:rsidRPr="00CF1D56">
                <w:rPr>
                  <w:rFonts w:ascii="DINRoundOT-Medium" w:hAnsi="DINRoundOT-Medium" w:cs="DINRoundOT-Medium"/>
                  <w:b/>
                  <w:sz w:val="22"/>
                  <w:szCs w:val="24"/>
                </w:rPr>
                <w:t>Unit</w:t>
              </w:r>
            </w:smartTag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F7FA" w14:textId="6EDA6C29" w:rsidR="00ED0B65" w:rsidRPr="00CF1D56" w:rsidRDefault="00D350C3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Insurance</w:t>
            </w:r>
          </w:p>
        </w:tc>
      </w:tr>
      <w:tr w:rsidR="00ED0B65" w:rsidRPr="00472249" w14:paraId="2B56F791" w14:textId="77777777" w:rsidTr="3680656A">
        <w:trPr>
          <w:trHeight w:val="244"/>
        </w:trPr>
        <w:tc>
          <w:tcPr>
            <w:tcW w:w="17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1ED448" w14:textId="77777777" w:rsidR="00ED0B65" w:rsidRPr="00F14BFE" w:rsidRDefault="00ED0B6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12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C29AA9" w14:textId="77777777" w:rsidR="00ED0B65" w:rsidRPr="00F14BFE" w:rsidRDefault="00ED0B6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B40A53" w14:textId="77777777" w:rsidR="00ED0B65" w:rsidRPr="000A7143" w:rsidRDefault="00ED0B6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FD168C" w14:textId="77777777" w:rsidR="00ED0B65" w:rsidRPr="00F14BFE" w:rsidRDefault="00ED0B6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6"/>
                <w:lang w:eastAsia="en-US"/>
              </w:rPr>
            </w:pPr>
          </w:p>
        </w:tc>
      </w:tr>
      <w:tr w:rsidR="00ED0B65" w:rsidRPr="00472249" w14:paraId="134BE60F" w14:textId="77777777" w:rsidTr="3680656A">
        <w:trPr>
          <w:trHeight w:val="166"/>
        </w:trPr>
        <w:tc>
          <w:tcPr>
            <w:tcW w:w="4111" w:type="dxa"/>
            <w:gridSpan w:val="2"/>
            <w:shd w:val="clear" w:color="auto" w:fill="E7E6E6" w:themeFill="background2"/>
          </w:tcPr>
          <w:p w14:paraId="42642F25" w14:textId="77777777" w:rsidR="00ED0B65" w:rsidRPr="00472249" w:rsidRDefault="00ED0B65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E7E6E6" w:themeFill="background2"/>
          </w:tcPr>
          <w:p w14:paraId="1871847F" w14:textId="77777777" w:rsidR="00ED0B65" w:rsidRPr="00472249" w:rsidRDefault="00ED0B65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5F4BEBF" w14:textId="7BB8A03A" w:rsidR="00ED0B65" w:rsidRPr="00472249" w:rsidRDefault="00ED0B65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 xml:space="preserve">Need </w:t>
            </w:r>
            <w:r w:rsidR="00446A29">
              <w:rPr>
                <w:rFonts w:ascii="DINRoundOT-Medium" w:hAnsi="DINRoundOT-Medium" w:cs="DINRoundOT-Medium"/>
                <w:b/>
                <w:color w:val="FF6600"/>
              </w:rPr>
              <w:t>t</w:t>
            </w: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o Know</w:t>
            </w:r>
          </w:p>
        </w:tc>
        <w:tc>
          <w:tcPr>
            <w:tcW w:w="1858" w:type="dxa"/>
            <w:shd w:val="clear" w:color="auto" w:fill="E7E6E6" w:themeFill="background2"/>
          </w:tcPr>
          <w:p w14:paraId="29469196" w14:textId="77777777" w:rsidR="00ED0B65" w:rsidRPr="00472249" w:rsidRDefault="00ED0B65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ED0B65" w:rsidRPr="00472249" w14:paraId="260373CB" w14:textId="77777777" w:rsidTr="3680656A">
        <w:trPr>
          <w:trHeight w:val="6271"/>
        </w:trPr>
        <w:tc>
          <w:tcPr>
            <w:tcW w:w="4111" w:type="dxa"/>
            <w:gridSpan w:val="2"/>
            <w:shd w:val="clear" w:color="auto" w:fill="auto"/>
          </w:tcPr>
          <w:p w14:paraId="61C59AA0" w14:textId="2B0C44A7" w:rsidR="00ED0B65" w:rsidRPr="00FB5770" w:rsidRDefault="00ED0B65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Role </w:t>
            </w:r>
            <w:r w:rsidR="00EA093D"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>Purpose</w:t>
            </w:r>
            <w:r w:rsidR="00EA093D" w:rsidRPr="00FB5770"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</w:p>
          <w:p w14:paraId="25DF0344" w14:textId="126B2191" w:rsidR="00DE1065" w:rsidRDefault="00DE1065" w:rsidP="00A65A02">
            <w:pPr>
              <w:jc w:val="both"/>
              <w:rPr>
                <w:rFonts w:ascii="DINRoundOT-Medium" w:eastAsiaTheme="minorHAnsi" w:hAnsi="DINRoundOT-Medium" w:cs="DINRoundOT-Medium"/>
                <w:sz w:val="16"/>
                <w:szCs w:val="16"/>
              </w:rPr>
            </w:pPr>
            <w:r>
              <w:rPr>
                <w:rFonts w:ascii="DINRoundOT-Medium" w:eastAsiaTheme="minorHAnsi" w:hAnsi="DINRoundOT-Medium" w:cs="DINRoundOT-Medium"/>
                <w:sz w:val="16"/>
                <w:szCs w:val="16"/>
              </w:rPr>
              <w:t xml:space="preserve">The role </w:t>
            </w:r>
            <w:r w:rsidR="00FC2420">
              <w:rPr>
                <w:rFonts w:ascii="DINRoundOT-Medium" w:eastAsiaTheme="minorHAnsi" w:hAnsi="DINRoundOT-Medium" w:cs="DINRoundOT-Medium"/>
                <w:sz w:val="16"/>
                <w:szCs w:val="16"/>
              </w:rPr>
              <w:t xml:space="preserve">will undertake a broad range of product management activities across all insurance products.  </w:t>
            </w:r>
          </w:p>
          <w:p w14:paraId="3C4296D9" w14:textId="5BE89D90" w:rsidR="0080200D" w:rsidRDefault="00D350C3" w:rsidP="00A65A02">
            <w:pPr>
              <w:jc w:val="both"/>
              <w:rPr>
                <w:rFonts w:ascii="DINRoundOT-Medium" w:eastAsiaTheme="minorEastAsia" w:hAnsi="DINRoundOT-Medium" w:cs="DINRoundOT-Medium"/>
                <w:sz w:val="16"/>
                <w:szCs w:val="16"/>
              </w:rPr>
            </w:pPr>
            <w:r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Th</w:t>
            </w:r>
            <w:r w:rsidR="0080200D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is </w:t>
            </w:r>
            <w:r w:rsidR="003C7C54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role will play a key role in </w:t>
            </w:r>
            <w:r w:rsidR="00730AE5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ensuring our </w:t>
            </w:r>
            <w:proofErr w:type="gramStart"/>
            <w:r w:rsidR="00730AE5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Insurance</w:t>
            </w:r>
            <w:proofErr w:type="gramEnd"/>
            <w:r w:rsidR="00730AE5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products are designed, delivered and maintained to deliver </w:t>
            </w:r>
            <w:r w:rsidR="009A663F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good</w:t>
            </w:r>
            <w:r w:rsidR="00730AE5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customer outcomes and </w:t>
            </w:r>
            <w:r w:rsidR="003F154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performance in line with</w:t>
            </w:r>
            <w:r w:rsidR="009A663F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consumer duty and the divisions strategy</w:t>
            </w:r>
            <w:r w:rsidR="003F154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.</w:t>
            </w:r>
            <w:r w:rsidR="00ED3AA8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The role holder will </w:t>
            </w:r>
            <w:r w:rsidR="003A0A2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manage</w:t>
            </w:r>
            <w:r w:rsidR="009A663F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the product lifecycle</w:t>
            </w:r>
            <w:r w:rsidR="003A0A2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, influence and oversee our pr</w:t>
            </w:r>
            <w:r w:rsidR="009A663F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opositions</w:t>
            </w:r>
            <w:r w:rsidR="003A0A2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end-to-end </w:t>
            </w:r>
            <w:r w:rsidR="009A663F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journey across multiple</w:t>
            </w:r>
            <w:r w:rsidR="003A0A2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operating models where RAC</w:t>
            </w:r>
            <w:r w:rsidR="0007502F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act as </w:t>
            </w:r>
            <w:r w:rsidR="009A663F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co-</w:t>
            </w:r>
            <w:r w:rsidR="0007502F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manufacturer, distributer and introducer.</w:t>
            </w:r>
          </w:p>
          <w:p w14:paraId="53B38472" w14:textId="53CB6084" w:rsidR="001F7FBA" w:rsidRPr="00AF278C" w:rsidRDefault="00AF278C" w:rsidP="00A65A02">
            <w:pPr>
              <w:jc w:val="both"/>
              <w:rPr>
                <w:rFonts w:ascii="DINRoundOT-Medium" w:hAnsi="DINRoundOT-Medium" w:cs="DINRoundOT-Medium"/>
                <w:sz w:val="6"/>
                <w:szCs w:val="16"/>
              </w:rPr>
            </w:pPr>
            <w:r w:rsidRPr="00AF278C">
              <w:rPr>
                <w:rFonts w:ascii="DINRoundOT-Medium" w:eastAsiaTheme="minorHAnsi" w:hAnsi="DINRoundOT-Medium" w:cs="DINRoundOT-Medium"/>
                <w:sz w:val="16"/>
                <w:szCs w:val="16"/>
              </w:rPr>
              <w:br/>
            </w:r>
          </w:p>
          <w:p w14:paraId="17127AD4" w14:textId="77777777" w:rsidR="00ED0B65" w:rsidRPr="00AF278C" w:rsidRDefault="00ED0B65" w:rsidP="00A65A02">
            <w:pPr>
              <w:jc w:val="both"/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AF278C">
              <w:rPr>
                <w:rFonts w:ascii="DINRoundOT-Medium" w:hAnsi="DINRoundOT-Medium" w:cs="DINRoundOT-Medium"/>
                <w:b/>
                <w:sz w:val="16"/>
                <w:szCs w:val="16"/>
              </w:rPr>
              <w:t>Role Dimension:</w:t>
            </w:r>
          </w:p>
          <w:p w14:paraId="75AA78CE" w14:textId="17E58358" w:rsidR="003A629A" w:rsidRDefault="009A663F" w:rsidP="00A65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Oversight</w:t>
            </w:r>
            <w:r w:rsidR="00E5465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and review </w:t>
            </w:r>
            <w:r w:rsidR="00E54650">
              <w:rPr>
                <w:rFonts w:ascii="DINRoundOT-Medium" w:hAnsi="DINRoundOT-Medium" w:cs="DINRoundOT-Medium"/>
                <w:sz w:val="16"/>
                <w:szCs w:val="16"/>
              </w:rPr>
              <w:t xml:space="preserve">of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MI including </w:t>
            </w:r>
            <w:r w:rsidR="00E54650">
              <w:rPr>
                <w:rFonts w:ascii="DINRoundOT-Medium" w:hAnsi="DINRoundOT-Medium" w:cs="DINRoundOT-Medium"/>
                <w:sz w:val="16"/>
                <w:szCs w:val="16"/>
              </w:rPr>
              <w:t xml:space="preserve">service, complaints, customer outcomes and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KPI’s</w:t>
            </w:r>
            <w:r w:rsidR="00E54650">
              <w:rPr>
                <w:rFonts w:ascii="DINRoundOT-Medium" w:hAnsi="DINRoundOT-Medium" w:cs="DINRoundOT-Medium"/>
                <w:sz w:val="16"/>
                <w:szCs w:val="16"/>
              </w:rPr>
              <w:t xml:space="preserve"> per consumer duty requirements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 product performance</w:t>
            </w:r>
          </w:p>
          <w:p w14:paraId="39EBB0E0" w14:textId="26E797A7" w:rsidR="0007502F" w:rsidRDefault="0007502F" w:rsidP="00A65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Responsible for </w:t>
            </w:r>
            <w:r w:rsidR="009A663F">
              <w:rPr>
                <w:rFonts w:ascii="DINRoundOT-Medium" w:hAnsi="DINRoundOT-Medium" w:cs="DINRoundOT-Medium"/>
                <w:sz w:val="16"/>
                <w:szCs w:val="16"/>
              </w:rPr>
              <w:t>maintaining a robust understanding of all</w:t>
            </w:r>
            <w:r w:rsidR="008D1F46">
              <w:rPr>
                <w:rFonts w:ascii="DINRoundOT-Medium" w:hAnsi="DINRoundOT-Medium" w:cs="DINRoundOT-Medium"/>
                <w:sz w:val="16"/>
                <w:szCs w:val="16"/>
              </w:rPr>
              <w:t xml:space="preserve"> product</w:t>
            </w:r>
            <w:r w:rsidR="009A663F">
              <w:rPr>
                <w:rFonts w:ascii="DINRoundOT-Medium" w:hAnsi="DINRoundOT-Medium" w:cs="DINRoundOT-Medium"/>
                <w:sz w:val="16"/>
                <w:szCs w:val="16"/>
              </w:rPr>
              <w:t xml:space="preserve">s </w:t>
            </w:r>
            <w:r w:rsidR="008D1F46">
              <w:rPr>
                <w:rFonts w:ascii="DINRoundOT-Medium" w:hAnsi="DINRoundOT-Medium" w:cs="DINRoundOT-Medium"/>
                <w:sz w:val="16"/>
                <w:szCs w:val="16"/>
              </w:rPr>
              <w:t xml:space="preserve">and </w:t>
            </w:r>
            <w:r w:rsidR="009A663F">
              <w:rPr>
                <w:rFonts w:ascii="DINRoundOT-Medium" w:hAnsi="DINRoundOT-Medium" w:cs="DINRoundOT-Medium"/>
                <w:sz w:val="16"/>
                <w:szCs w:val="16"/>
              </w:rPr>
              <w:t xml:space="preserve">ensuring product </w:t>
            </w:r>
            <w:r w:rsidR="008D1F46">
              <w:rPr>
                <w:rFonts w:ascii="DINRoundOT-Medium" w:hAnsi="DINRoundOT-Medium" w:cs="DINRoundOT-Medium"/>
                <w:sz w:val="16"/>
                <w:szCs w:val="16"/>
              </w:rPr>
              <w:t>reviews are up to date</w:t>
            </w:r>
          </w:p>
          <w:p w14:paraId="0523BCFB" w14:textId="3E09E6F5" w:rsidR="009A4C28" w:rsidRDefault="05450EAA" w:rsidP="00A65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F278C">
              <w:rPr>
                <w:rFonts w:ascii="DINRoundOT-Medium" w:hAnsi="DINRoundOT-Medium" w:cs="DINRoundOT-Medium"/>
                <w:sz w:val="16"/>
                <w:szCs w:val="16"/>
              </w:rPr>
              <w:t xml:space="preserve">Responsible for </w:t>
            </w:r>
            <w:r w:rsidR="00AF278C" w:rsidRPr="00AF278C">
              <w:rPr>
                <w:rFonts w:ascii="DINRoundOT-Medium" w:hAnsi="DINRoundOT-Medium" w:cs="DINRoundOT-Medium"/>
                <w:sz w:val="16"/>
                <w:szCs w:val="16"/>
              </w:rPr>
              <w:t>identifying opportunities to improve the online/offline customer experience</w:t>
            </w:r>
          </w:p>
          <w:p w14:paraId="1CEE1A6D" w14:textId="29BE39CC" w:rsidR="00B67216" w:rsidRPr="00AF278C" w:rsidRDefault="00B67216" w:rsidP="00A65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Constantly benchmarking our products</w:t>
            </w:r>
            <w:r w:rsidR="001007D4">
              <w:rPr>
                <w:rFonts w:ascii="DINRoundOT-Medium" w:hAnsi="DINRoundOT-Medium" w:cs="DINRoundOT-Medium"/>
                <w:sz w:val="16"/>
                <w:szCs w:val="16"/>
              </w:rPr>
              <w:t>/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service against the market, regulatory expectations </w:t>
            </w:r>
            <w:r w:rsidR="00DE1065">
              <w:rPr>
                <w:rFonts w:ascii="DINRoundOT-Medium" w:hAnsi="DINRoundOT-Medium" w:cs="DINRoundOT-Medium"/>
                <w:sz w:val="16"/>
                <w:szCs w:val="16"/>
              </w:rPr>
              <w:t>&amp;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target customer outcomes </w:t>
            </w:r>
            <w:r w:rsidR="001007D4">
              <w:rPr>
                <w:rFonts w:ascii="DINRoundOT-Medium" w:hAnsi="DINRoundOT-Medium" w:cs="DINRoundOT-Medium"/>
                <w:sz w:val="16"/>
                <w:szCs w:val="16"/>
              </w:rPr>
              <w:t>with</w:t>
            </w:r>
            <w:r w:rsidR="006E2E01">
              <w:rPr>
                <w:rFonts w:ascii="DINRoundOT-Medium" w:hAnsi="DINRoundOT-Medium" w:cs="DINRoundOT-Medium"/>
                <w:sz w:val="16"/>
                <w:szCs w:val="16"/>
              </w:rPr>
              <w:t xml:space="preserve"> action</w:t>
            </w:r>
            <w:r w:rsidR="00DE1065">
              <w:rPr>
                <w:rFonts w:ascii="DINRoundOT-Medium" w:hAnsi="DINRoundOT-Medium" w:cs="DINRoundOT-Medium"/>
                <w:sz w:val="16"/>
                <w:szCs w:val="16"/>
              </w:rPr>
              <w:t xml:space="preserve"> plans</w:t>
            </w:r>
            <w:r w:rsidR="006E2E01">
              <w:rPr>
                <w:rFonts w:ascii="DINRoundOT-Medium" w:hAnsi="DINRoundOT-Medium" w:cs="DINRoundOT-Medium"/>
                <w:sz w:val="16"/>
                <w:szCs w:val="16"/>
              </w:rPr>
              <w:t xml:space="preserve"> to improve</w:t>
            </w:r>
          </w:p>
          <w:p w14:paraId="0E813C54" w14:textId="42344D1D" w:rsidR="00F462F8" w:rsidRPr="00F403FD" w:rsidRDefault="00695481" w:rsidP="00A65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Ensuring </w:t>
            </w:r>
            <w:r w:rsidR="00D26A57">
              <w:rPr>
                <w:rFonts w:ascii="DINRoundOT-Medium" w:hAnsi="DINRoundOT-Medium" w:cs="DINRoundOT-Medium"/>
                <w:sz w:val="16"/>
                <w:szCs w:val="16"/>
              </w:rPr>
              <w:t xml:space="preserve">financial promotions, journeys, documentation and terms and conditions </w:t>
            </w:r>
            <w:r w:rsidR="00F462F8">
              <w:rPr>
                <w:rFonts w:ascii="DINRoundOT-Medium" w:hAnsi="DINRoundOT-Medium" w:cs="DINRoundOT-Medium"/>
                <w:sz w:val="16"/>
                <w:szCs w:val="16"/>
              </w:rPr>
              <w:t>are reviewed</w:t>
            </w:r>
            <w:r w:rsidR="009A663F">
              <w:rPr>
                <w:rFonts w:ascii="DINRoundOT-Medium" w:hAnsi="DINRoundOT-Medium" w:cs="DINRoundOT-Medium"/>
                <w:sz w:val="16"/>
                <w:szCs w:val="16"/>
              </w:rPr>
              <w:t>, controlled</w:t>
            </w:r>
            <w:r w:rsidR="00F462F8">
              <w:rPr>
                <w:rFonts w:ascii="DINRoundOT-Medium" w:hAnsi="DINRoundOT-Medium" w:cs="DINRoundOT-Medium"/>
                <w:sz w:val="16"/>
                <w:szCs w:val="16"/>
              </w:rPr>
              <w:t xml:space="preserve"> and kept up to date</w:t>
            </w:r>
          </w:p>
          <w:p w14:paraId="3EE1655E" w14:textId="648A6A8F" w:rsidR="006E4F00" w:rsidRPr="00AF278C" w:rsidRDefault="00412326" w:rsidP="00A65A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Liaise / partner with internal and external stakeholders</w:t>
            </w:r>
          </w:p>
          <w:p w14:paraId="689F244D" w14:textId="77777777" w:rsidR="00ED0B65" w:rsidRPr="00D411B4" w:rsidRDefault="00ED0B65" w:rsidP="00A65A02">
            <w:pPr>
              <w:jc w:val="both"/>
              <w:rPr>
                <w:rFonts w:ascii="DINRoundOT-Medium" w:hAnsi="DINRoundOT-Medium" w:cs="DINRoundOT-Medium"/>
                <w:sz w:val="10"/>
                <w:szCs w:val="16"/>
              </w:rPr>
            </w:pPr>
          </w:p>
          <w:p w14:paraId="3C409D5A" w14:textId="77777777" w:rsidR="00ED0B65" w:rsidRPr="00472249" w:rsidRDefault="00ED0B65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Reports to: </w:t>
            </w:r>
          </w:p>
          <w:p w14:paraId="00E46A6A" w14:textId="74B34278" w:rsidR="00ED0B65" w:rsidRDefault="00C94851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94851">
              <w:rPr>
                <w:rFonts w:ascii="DINRoundOT-Medium" w:hAnsi="DINRoundOT-Medium" w:cs="DINRoundOT-Medium"/>
                <w:sz w:val="16"/>
                <w:szCs w:val="16"/>
              </w:rPr>
              <w:t>Head of Operational Control</w:t>
            </w:r>
          </w:p>
          <w:p w14:paraId="0E6396FF" w14:textId="77777777" w:rsidR="00AB3F01" w:rsidRPr="00472249" w:rsidRDefault="00AB3F01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5D3083F" w14:textId="77777777" w:rsidR="00ED0B65" w:rsidRPr="00035610" w:rsidRDefault="00ED0B65" w:rsidP="00A65A02">
            <w:pPr>
              <w:jc w:val="both"/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Relationships</w:t>
            </w:r>
          </w:p>
          <w:p w14:paraId="1BF04B61" w14:textId="4E517693" w:rsidR="00ED0B65" w:rsidRPr="00035610" w:rsidRDefault="00ED0B65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Internal:</w:t>
            </w:r>
            <w:r w:rsidR="00172F18"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RAC SLT, </w:t>
            </w:r>
            <w:r w:rsidR="00F93909" w:rsidRPr="00035610">
              <w:rPr>
                <w:rFonts w:ascii="DINRoundOT-Medium" w:hAnsi="DINRoundOT-Medium" w:cs="DINRoundOT-Medium"/>
                <w:sz w:val="16"/>
                <w:szCs w:val="16"/>
              </w:rPr>
              <w:t>marketing, legal, compliance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>, IT</w:t>
            </w:r>
            <w:r w:rsidR="00295C94" w:rsidRPr="00035610">
              <w:rPr>
                <w:rFonts w:ascii="DINRoundOT-Medium" w:hAnsi="DINRoundOT-Medium" w:cs="DINRoundOT-Medium"/>
                <w:sz w:val="16"/>
                <w:szCs w:val="16"/>
              </w:rPr>
              <w:t>, finance</w:t>
            </w:r>
            <w:r w:rsidR="00035610" w:rsidRPr="00035610">
              <w:rPr>
                <w:rFonts w:ascii="DINRoundOT-Medium" w:hAnsi="DINRoundOT-Medium" w:cs="DINRoundOT-Medium"/>
                <w:sz w:val="16"/>
                <w:szCs w:val="16"/>
              </w:rPr>
              <w:t>, pricing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, operations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plus other divisions where required.</w:t>
            </w:r>
          </w:p>
          <w:p w14:paraId="1AED13AF" w14:textId="77777777" w:rsidR="00053DB9" w:rsidRPr="008765AC" w:rsidRDefault="00053DB9" w:rsidP="00A65A02">
            <w:pPr>
              <w:jc w:val="both"/>
              <w:rPr>
                <w:rFonts w:ascii="DINRoundOT-Medium" w:hAnsi="DINRoundOT-Medium" w:cs="DINRoundOT-Medium"/>
                <w:sz w:val="10"/>
                <w:szCs w:val="16"/>
                <w:highlight w:val="yellow"/>
              </w:rPr>
            </w:pPr>
          </w:p>
          <w:p w14:paraId="1D0FE4C2" w14:textId="0330F7EC" w:rsidR="00ED0B65" w:rsidRDefault="00ED0B65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External: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Various RAC customers, partners and distributors</w:t>
            </w:r>
          </w:p>
          <w:p w14:paraId="558C75C2" w14:textId="77777777" w:rsidR="00D82833" w:rsidRDefault="00D82833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BA605F9" w14:textId="77777777" w:rsidR="00D82833" w:rsidRPr="00D82833" w:rsidRDefault="00D82833" w:rsidP="00A65A02">
            <w:pPr>
              <w:jc w:val="both"/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D8283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Committees / Forum Memberships:</w:t>
            </w:r>
          </w:p>
          <w:p w14:paraId="48D7CEC6" w14:textId="2EF8FF05" w:rsidR="00D82833" w:rsidRDefault="00D03A54" w:rsidP="00A65A02">
            <w:p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>P</w:t>
            </w:r>
            <w:r w:rsidR="00924DF6">
              <w:rPr>
                <w:rFonts w:ascii="DINRoundOT-Medium" w:hAnsi="DINRoundOT-Medium" w:cs="DINRoundOT-Medium"/>
                <w:sz w:val="16"/>
                <w:szCs w:val="16"/>
              </w:rPr>
              <w:t>roduct Governance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DINRoundOT-Medium" w:hAnsi="DINRoundOT-Medium" w:cs="DINRoundOT-Medium"/>
                <w:sz w:val="16"/>
                <w:szCs w:val="16"/>
              </w:rPr>
              <w:t>Forum;</w:t>
            </w:r>
            <w:proofErr w:type="gramEnd"/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 and various other governance forums and committees that may be required or convened from time to time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4FDB9527" w14:textId="05C79ADB" w:rsidR="00D82833" w:rsidRPr="00472249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B8EBE1D" w14:textId="77777777" w:rsidR="00063470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63470"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 xml:space="preserve">Ownership of product management, understanding how each product works, the product lifecycle and end to end customer journeys. </w:t>
            </w:r>
          </w:p>
          <w:p w14:paraId="773F8235" w14:textId="31316CD5" w:rsidR="00063470" w:rsidRPr="00063470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Management of</w:t>
            </w:r>
            <w:r w:rsidRP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product level performance, including how customers utilise the product, identifying opportunities to improve and providing recommendations to the wider Insurance team.</w:t>
            </w:r>
          </w:p>
          <w:p w14:paraId="5A7329CE" w14:textId="066661E0" w:rsidR="00063470" w:rsidRPr="00BF29DB" w:rsidRDefault="00733104" w:rsidP="00A65A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Develop and maintain a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robust understanding of the end-to-end online and offline product lifecycle for all products including operational and system processes, customer touch points, and control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s.</w:t>
            </w:r>
          </w:p>
          <w:p w14:paraId="1D25CAE6" w14:textId="05CC19D3" w:rsidR="004C1C11" w:rsidRPr="00A46BC7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46BC7">
              <w:rPr>
                <w:rFonts w:ascii="DINRoundOT-Medium" w:hAnsi="DINRoundOT-Medium" w:cs="DINRoundOT-Medium"/>
                <w:sz w:val="16"/>
                <w:szCs w:val="16"/>
              </w:rPr>
              <w:t>Review and test processes and controls (journey and operations) to ensure that they are sufficient and working as designed</w:t>
            </w:r>
            <w:r w:rsidR="00CD4010" w:rsidRPr="00A46BC7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27F7BC21" w14:textId="3329E807" w:rsidR="004C1C11" w:rsidRPr="00824A5D" w:rsidRDefault="00BF29DB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Review m</w:t>
            </w:r>
            <w:r w:rsidR="00733104">
              <w:rPr>
                <w:rFonts w:ascii="DINRoundOT-Medium" w:hAnsi="DINRoundOT-Medium" w:cs="DINRoundOT-Medium"/>
                <w:sz w:val="16"/>
                <w:szCs w:val="16"/>
              </w:rPr>
              <w:t xml:space="preserve">onthly </w:t>
            </w:r>
            <w:r w:rsidR="009C174F">
              <w:rPr>
                <w:rFonts w:ascii="DINRoundOT-Medium" w:hAnsi="DINRoundOT-Medium" w:cs="DINRoundOT-Medium"/>
                <w:sz w:val="16"/>
                <w:szCs w:val="16"/>
              </w:rPr>
              <w:t xml:space="preserve">operational </w:t>
            </w:r>
            <w:r w:rsidR="00063470" w:rsidRPr="00733104">
              <w:rPr>
                <w:rFonts w:ascii="DINRoundOT-Medium" w:hAnsi="DINRoundOT-Medium" w:cs="DINRoundOT-Medium"/>
                <w:sz w:val="16"/>
                <w:szCs w:val="16"/>
              </w:rPr>
              <w:t>MI</w:t>
            </w:r>
            <w:r w:rsidR="00733104">
              <w:rPr>
                <w:rFonts w:ascii="DINRoundOT-Medium" w:hAnsi="DINRoundOT-Medium" w:cs="DINRoundOT-Medium"/>
                <w:sz w:val="16"/>
                <w:szCs w:val="16"/>
              </w:rPr>
              <w:t>, feeding into the t</w:t>
            </w:r>
            <w:r w:rsidR="00063470" w:rsidRPr="00733104">
              <w:rPr>
                <w:rFonts w:ascii="DINRoundOT-Medium" w:hAnsi="DINRoundOT-Medium" w:cs="DINRoundOT-Medium"/>
                <w:sz w:val="16"/>
                <w:szCs w:val="16"/>
              </w:rPr>
              <w:t>eam to evaluate whether products and propositions are meeting regulatory and business expectations and delivering good outcomes for customers.</w:t>
            </w:r>
          </w:p>
          <w:p w14:paraId="1C97D304" w14:textId="0279307C" w:rsidR="00063470" w:rsidRDefault="009C174F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Review and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track key product metrics and analyse the metrics to assess the product’s performance, identify areas for improvement, and make data-driven recommendations to improve business outcomes.</w:t>
            </w:r>
          </w:p>
          <w:p w14:paraId="6170AA4D" w14:textId="1A0874AD" w:rsidR="00063470" w:rsidRDefault="007205A9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Complete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annual product reviews, ensuring all key stakeholders contribute appropriately and the completion and distribution of FVA’s with insurers and third parties as appropriate. </w:t>
            </w:r>
          </w:p>
          <w:p w14:paraId="077EC7EA" w14:textId="77777777" w:rsidR="00A95988" w:rsidRDefault="00A95988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Conduct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competitor analysis: monitoring the competitive landscape, identifying competitor offerings, strengths, and weaknesses. </w:t>
            </w:r>
          </w:p>
          <w:p w14:paraId="3A4233C0" w14:textId="25354402" w:rsidR="00063470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Define product differentiation strategies and ensure the product remains competitive in the market. </w:t>
            </w:r>
          </w:p>
          <w:p w14:paraId="18C8162F" w14:textId="30859B1B" w:rsidR="00063470" w:rsidRDefault="00FB61D2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Through the ongoing monitoring of MI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champion continuous improvement to stay ahead of market demands and drive business growth.</w:t>
            </w:r>
          </w:p>
          <w:p w14:paraId="4F07BCD9" w14:textId="77777777" w:rsidR="00063470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Manage and maintain a central tracker of APR’s and Add-ons across all products and manage changes as required.</w:t>
            </w:r>
          </w:p>
          <w:p w14:paraId="76E4BE60" w14:textId="77777777" w:rsidR="00063470" w:rsidRPr="00D05E3A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D05E3A">
              <w:rPr>
                <w:rFonts w:ascii="DINRoundOT-Medium" w:hAnsi="DINRoundOT-Medium" w:cs="DINRoundOT-Medium"/>
                <w:sz w:val="16"/>
                <w:szCs w:val="16"/>
              </w:rPr>
              <w:t xml:space="preserve">Manage key third party partner relationships, documenting meeting and actions, ensuring the wider RAC Insurance team are kept informed as appropriate. </w:t>
            </w:r>
          </w:p>
          <w:p w14:paraId="53835B0B" w14:textId="52D42659" w:rsidR="00063470" w:rsidRPr="00824A5D" w:rsidRDefault="00063470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Co-ordinate and </w:t>
            </w:r>
            <w:r w:rsidR="005A092C" w:rsidRPr="00905BEC">
              <w:rPr>
                <w:rFonts w:ascii="DINRoundOT-Medium" w:hAnsi="DINRoundOT-Medium" w:cs="DINRoundOT-Medium"/>
                <w:sz w:val="16"/>
                <w:szCs w:val="16"/>
              </w:rPr>
              <w:t>support</w:t>
            </w:r>
            <w:r w:rsidRPr="00905BEC">
              <w:rPr>
                <w:rFonts w:ascii="DINRoundOT-Medium" w:hAnsi="DINRoundOT-Medium" w:cs="DINRoundOT-Medium"/>
                <w:sz w:val="16"/>
                <w:szCs w:val="16"/>
              </w:rPr>
              <w:t xml:space="preserve"> product launches, working closely with cross-functional teams to ensure successful </w:t>
            </w:r>
            <w:r w:rsidR="0076092F" w:rsidRPr="00905BEC">
              <w:rPr>
                <w:rFonts w:ascii="DINRoundOT-Medium" w:hAnsi="DINRoundOT-Medium" w:cs="DINRoundOT-Medium"/>
                <w:sz w:val="16"/>
                <w:szCs w:val="16"/>
              </w:rPr>
              <w:t>implementation</w:t>
            </w:r>
            <w:r w:rsidRPr="00905BE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6D426345" w14:textId="2FA3E4BA" w:rsidR="005772A6" w:rsidRPr="008B0086" w:rsidRDefault="008B0086" w:rsidP="00A65A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B0086">
              <w:rPr>
                <w:rFonts w:ascii="DINRoundOT-Medium" w:hAnsi="DINRoundOT-Medium" w:cs="DINRoundOT-Medium"/>
                <w:sz w:val="16"/>
                <w:szCs w:val="16"/>
              </w:rPr>
              <w:t>Co-ordinate, track</w:t>
            </w:r>
            <w:r w:rsidR="008A5FC7" w:rsidRPr="008B0086">
              <w:rPr>
                <w:rFonts w:ascii="DINRoundOT-Medium" w:hAnsi="DINRoundOT-Medium" w:cs="DINRoundOT-Medium"/>
                <w:sz w:val="16"/>
                <w:szCs w:val="16"/>
              </w:rPr>
              <w:t xml:space="preserve"> delivery of</w:t>
            </w:r>
            <w:r w:rsidR="05450EAA" w:rsidRPr="008B0086">
              <w:rPr>
                <w:rFonts w:ascii="DINRoundOT-Medium" w:hAnsi="DINRoundOT-Medium" w:cs="DINRoundOT-Medium"/>
                <w:sz w:val="16"/>
                <w:szCs w:val="16"/>
              </w:rPr>
              <w:t xml:space="preserve"> actions coming out of audits, second line monitoring, </w:t>
            </w:r>
            <w:r w:rsidR="008A5FC7" w:rsidRPr="008B0086">
              <w:rPr>
                <w:rFonts w:ascii="DINRoundOT-Medium" w:hAnsi="DINRoundOT-Medium" w:cs="DINRoundOT-Medium"/>
                <w:sz w:val="16"/>
                <w:szCs w:val="16"/>
              </w:rPr>
              <w:t>committees,</w:t>
            </w:r>
            <w:r w:rsidR="05450EAA" w:rsidRPr="008B0086">
              <w:rPr>
                <w:rFonts w:ascii="DINRoundOT-Medium" w:hAnsi="DINRoundOT-Medium" w:cs="DINRoundOT-Medium"/>
                <w:sz w:val="16"/>
                <w:szCs w:val="16"/>
              </w:rPr>
              <w:t xml:space="preserve"> and product reviews.</w:t>
            </w:r>
          </w:p>
          <w:p w14:paraId="7F3791E7" w14:textId="79453541" w:rsidR="008A5FC7" w:rsidRPr="00B07D15" w:rsidRDefault="008A5FC7" w:rsidP="00A65A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07D15">
              <w:rPr>
                <w:rFonts w:ascii="DINRoundOT-Medium" w:hAnsi="DINRoundOT-Medium" w:cs="DINRoundOT-Medium"/>
                <w:sz w:val="16"/>
                <w:szCs w:val="16"/>
              </w:rPr>
              <w:t>Adopt the ‘voice of the customer’ to champion change that delivers better customer outcomes.</w:t>
            </w:r>
          </w:p>
          <w:p w14:paraId="3FBF2464" w14:textId="126778CC" w:rsidR="0037524A" w:rsidRPr="007F11E8" w:rsidRDefault="00E334C7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F11E8">
              <w:rPr>
                <w:rFonts w:ascii="DINRoundOT-Medium" w:hAnsi="DINRoundOT-Medium" w:cs="DINRoundOT-Medium"/>
                <w:sz w:val="16"/>
                <w:szCs w:val="16"/>
              </w:rPr>
              <w:t>Continuously review</w:t>
            </w:r>
            <w:r w:rsidR="05450EAA" w:rsidRPr="007F11E8">
              <w:rPr>
                <w:rFonts w:ascii="DINRoundOT-Medium" w:hAnsi="DINRoundOT-Medium" w:cs="DINRoundOT-Medium"/>
                <w:sz w:val="16"/>
                <w:szCs w:val="16"/>
              </w:rPr>
              <w:t xml:space="preserve"> the end-to-end customer journeys</w:t>
            </w:r>
            <w:r w:rsidR="00803C81" w:rsidRPr="007F11E8">
              <w:rPr>
                <w:rFonts w:ascii="DINRoundOT-Medium" w:hAnsi="DINRoundOT-Medium" w:cs="DINRoundOT-Medium"/>
                <w:sz w:val="16"/>
                <w:szCs w:val="16"/>
              </w:rPr>
              <w:t xml:space="preserve"> (PCW’s, Digital, IVR, contact centre etc)</w:t>
            </w:r>
            <w:r w:rsidR="05450EAA" w:rsidRPr="007F11E8">
              <w:rPr>
                <w:rFonts w:ascii="DINRoundOT-Medium" w:hAnsi="DINRoundOT-Medium" w:cs="DINRoundOT-Medium"/>
                <w:sz w:val="16"/>
                <w:szCs w:val="16"/>
              </w:rPr>
              <w:t xml:space="preserve"> for all products to</w:t>
            </w:r>
            <w:r w:rsidRPr="007F11E8">
              <w:rPr>
                <w:rFonts w:ascii="DINRoundOT-Medium" w:hAnsi="DINRoundOT-Medium" w:cs="DINRoundOT-Medium"/>
                <w:sz w:val="16"/>
                <w:szCs w:val="16"/>
              </w:rPr>
              <w:t xml:space="preserve"> identify pain points and</w:t>
            </w:r>
            <w:r w:rsidR="05450EAA" w:rsidRPr="007F11E8">
              <w:rPr>
                <w:rFonts w:ascii="DINRoundOT-Medium" w:hAnsi="DINRoundOT-Medium" w:cs="DINRoundOT-Medium"/>
                <w:sz w:val="16"/>
                <w:szCs w:val="16"/>
              </w:rPr>
              <w:t xml:space="preserve"> ensure our journeys </w:t>
            </w:r>
            <w:r w:rsidR="00ED59BE" w:rsidRPr="007F11E8">
              <w:rPr>
                <w:rFonts w:ascii="DINRoundOT-Medium" w:hAnsi="DINRoundOT-Medium" w:cs="DINRoundOT-Medium"/>
                <w:sz w:val="16"/>
                <w:szCs w:val="16"/>
              </w:rPr>
              <w:t>are optimised.</w:t>
            </w:r>
          </w:p>
          <w:p w14:paraId="27AAF423" w14:textId="77777777" w:rsidR="00D80F6D" w:rsidRDefault="00D80F6D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 xml:space="preserve">Support the wider product team with the delivery of key initiatives and strategic objectives. </w:t>
            </w:r>
          </w:p>
          <w:p w14:paraId="5D010ACE" w14:textId="1A585BAE" w:rsidR="0080200D" w:rsidRDefault="0080200D" w:rsidP="00A65A02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0200D">
              <w:rPr>
                <w:rFonts w:ascii="DINRoundOT-Medium" w:hAnsi="DINRoundOT-Medium" w:cs="DINRoundOT-Medium"/>
                <w:sz w:val="16"/>
                <w:szCs w:val="16"/>
              </w:rPr>
              <w:t>Identify gaps and/or opportunities for improvement across the operation and take the necessary action to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 xml:space="preserve"> own and</w:t>
            </w:r>
            <w:r w:rsidRPr="0080200D">
              <w:rPr>
                <w:rFonts w:ascii="DINRoundOT-Medium" w:hAnsi="DINRoundOT-Medium" w:cs="DINRoundOT-Medium"/>
                <w:sz w:val="16"/>
                <w:szCs w:val="16"/>
              </w:rPr>
              <w:t xml:space="preserve"> resolve</w:t>
            </w:r>
            <w:r w:rsidR="00063470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2560A866" w14:textId="787E2417" w:rsidR="00AC07B2" w:rsidRPr="00C84C2E" w:rsidRDefault="00AC07B2" w:rsidP="00A65A0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09FC">
              <w:rPr>
                <w:rFonts w:ascii="DINRoundOT-Medium" w:hAnsi="DINRoundOT-Medium" w:cs="DINRoundOT-Medium"/>
                <w:sz w:val="16"/>
                <w:szCs w:val="16"/>
              </w:rPr>
              <w:t xml:space="preserve">Timely escalation of issues to </w:t>
            </w:r>
            <w:r w:rsidRPr="00C94851">
              <w:rPr>
                <w:rFonts w:ascii="DINRoundOT-Medium" w:hAnsi="DINRoundOT-Medium" w:cs="DINRoundOT-Medium"/>
                <w:sz w:val="16"/>
                <w:szCs w:val="16"/>
              </w:rPr>
              <w:t xml:space="preserve">the Head of Operational Control. </w:t>
            </w:r>
          </w:p>
          <w:p w14:paraId="47C79546" w14:textId="172B1338" w:rsidR="00C84C2E" w:rsidRDefault="00C84C2E" w:rsidP="00A65A0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74497">
              <w:rPr>
                <w:rFonts w:ascii="DINRoundOT-Medium" w:hAnsi="DINRoundOT-Medium" w:cs="DINRoundOT-Medium"/>
                <w:sz w:val="16"/>
                <w:szCs w:val="16"/>
              </w:rPr>
              <w:t xml:space="preserve">Play a key role in </w:t>
            </w:r>
            <w:r w:rsidR="0012340C">
              <w:rPr>
                <w:rFonts w:ascii="DINRoundOT-Medium" w:hAnsi="DINRoundOT-Medium" w:cs="DINRoundOT-Medium"/>
                <w:sz w:val="16"/>
                <w:szCs w:val="16"/>
              </w:rPr>
              <w:t>identifying</w:t>
            </w:r>
            <w:r w:rsidRPr="00774497">
              <w:rPr>
                <w:rFonts w:ascii="DINRoundOT-Medium" w:hAnsi="DINRoundOT-Medium" w:cs="DINRoundOT-Medium"/>
                <w:sz w:val="16"/>
                <w:szCs w:val="16"/>
              </w:rPr>
              <w:t xml:space="preserve"> complaints, issues and incidents </w:t>
            </w:r>
            <w:r w:rsidR="00774497" w:rsidRPr="00774497">
              <w:rPr>
                <w:rFonts w:ascii="DINRoundOT-Medium" w:hAnsi="DINRoundOT-Medium" w:cs="DINRoundOT-Medium"/>
                <w:sz w:val="16"/>
                <w:szCs w:val="16"/>
              </w:rPr>
              <w:t>where required</w:t>
            </w:r>
            <w:r w:rsidRPr="00774497">
              <w:rPr>
                <w:rFonts w:ascii="DINRoundOT-Medium" w:hAnsi="DINRoundOT-Medium" w:cs="DINRoundOT-Medium"/>
                <w:sz w:val="16"/>
                <w:szCs w:val="16"/>
              </w:rPr>
              <w:t>– liaise with operational control team to ensure risks, controls, issues and incidents are recorded and escalated as necessary</w:t>
            </w:r>
            <w:r w:rsidR="00774497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8BA7423" w14:textId="4D7A8634" w:rsidR="007B1952" w:rsidRPr="007B1952" w:rsidRDefault="007B1952" w:rsidP="007B1952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jc w:val="both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Support in the preparation and running of monthly governance committee forums, and the capturing of minutes and actions. Tracking and managing key stakeholders to ensure a timely completion of actions. </w:t>
            </w:r>
          </w:p>
          <w:p w14:paraId="61EC7927" w14:textId="4AC1E02D" w:rsidR="006802BB" w:rsidRPr="00D4081C" w:rsidRDefault="006802BB" w:rsidP="00063470">
            <w:pPr>
              <w:pStyle w:val="NoSpacing"/>
              <w:ind w:left="360"/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82AC59E" w14:textId="2FDF5FE3" w:rsidR="00FF5FA5" w:rsidRPr="00035610" w:rsidRDefault="00FF5FA5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lastRenderedPageBreak/>
              <w:t>Knowledge</w:t>
            </w:r>
          </w:p>
          <w:p w14:paraId="1817E5B2" w14:textId="16255841" w:rsidR="00AF278C" w:rsidRPr="00084BEB" w:rsidRDefault="00035610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knowledge of</w:t>
            </w:r>
            <w:r w:rsidR="00ED59BE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the </w:t>
            </w: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general insurance </w:t>
            </w:r>
            <w:r w:rsidR="00AF278C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industry including </w:t>
            </w: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regulatory </w:t>
            </w:r>
            <w:r w:rsidR="00AF278C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requirements</w:t>
            </w: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</w:t>
            </w:r>
            <w:r w:rsidR="00AF278C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best practice.</w:t>
            </w: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31B7644B" w14:textId="5CA16D13" w:rsidR="00CF4739" w:rsidRPr="00084BEB" w:rsidRDefault="00CF4739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Product management experience</w:t>
            </w:r>
          </w:p>
          <w:p w14:paraId="6E7C968C" w14:textId="6022970F" w:rsidR="00035610" w:rsidRPr="00084BEB" w:rsidRDefault="003B7532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Experience</w:t>
            </w:r>
            <w:r w:rsidR="00ED59BE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of contact centre operations and technologies.</w:t>
            </w:r>
          </w:p>
          <w:p w14:paraId="703F1D4B" w14:textId="0AD17C3E" w:rsidR="00EA093D" w:rsidRPr="00084BEB" w:rsidRDefault="00EA093D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understanding of personal lines insurance products</w:t>
            </w:r>
            <w:r w:rsidR="00CD718B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, operating models</w:t>
            </w:r>
            <w:r w:rsidR="00ED59BE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,</w:t>
            </w:r>
            <w:r w:rsidR="00CD718B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trading dynamics</w:t>
            </w:r>
            <w:r w:rsidR="00964D26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="00035610"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21980ECC" w14:textId="2A96AFB8" w:rsidR="00ED59BE" w:rsidRPr="00CD718B" w:rsidRDefault="00ED59BE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084BEB">
              <w:rPr>
                <w:rFonts w:ascii="DINRoundOT-Medium" w:hAnsi="DINRoundOT-Medium" w:cs="DINRoundOT-Medium"/>
                <w:bCs/>
                <w:sz w:val="16"/>
                <w:szCs w:val="16"/>
              </w:rPr>
              <w:t>Good understanding of continuous improvement models and</w:t>
            </w: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methodologies.</w:t>
            </w:r>
          </w:p>
          <w:p w14:paraId="172B7737" w14:textId="345AA879" w:rsidR="00ED0B65" w:rsidRPr="00CD718B" w:rsidRDefault="00ED0B65">
            <w:pPr>
              <w:rPr>
                <w:rFonts w:ascii="DINRoundOT-Medium" w:hAnsi="DINRoundOT-Medium" w:cs="DINRoundOT-Medium"/>
                <w:sz w:val="12"/>
                <w:szCs w:val="16"/>
              </w:rPr>
            </w:pPr>
          </w:p>
          <w:p w14:paraId="14FE07B2" w14:textId="6D0B3EC0" w:rsidR="00FF5FA5" w:rsidRPr="00CD718B" w:rsidRDefault="00FF5FA5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Experience</w:t>
            </w:r>
          </w:p>
          <w:p w14:paraId="6A54C6E1" w14:textId="59CEE7E2" w:rsidR="00FF5FA5" w:rsidRDefault="00CF473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Strong product management experience, ideally in Insurance / Financial </w:t>
            </w:r>
            <w:r w:rsidR="00C0618F">
              <w:rPr>
                <w:rFonts w:ascii="DINRoundOT-Medium" w:hAnsi="DINRoundOT-Medium" w:cs="DINRoundOT-Medium"/>
                <w:sz w:val="16"/>
                <w:szCs w:val="16"/>
              </w:rPr>
              <w:t>Services.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2C408195" w14:textId="707D483B" w:rsidR="00CD718B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Cross functional working within a large organisation</w:t>
            </w:r>
            <w:r w:rsidR="00C0618F">
              <w:rPr>
                <w:rFonts w:ascii="DINRoundOT-Medium" w:hAnsi="DINRoundOT-Medium" w:cs="DINRoundOT-Medium"/>
                <w:sz w:val="16"/>
                <w:szCs w:val="16"/>
              </w:rPr>
              <w:t xml:space="preserve"> (Matrix etc)</w:t>
            </w:r>
          </w:p>
          <w:p w14:paraId="1148E377" w14:textId="068E7B26" w:rsidR="00DF6CEC" w:rsidRDefault="00DF6CEC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Ideally experience of journey management and mapping</w:t>
            </w:r>
          </w:p>
          <w:p w14:paraId="4AC026B4" w14:textId="106617C8" w:rsidR="00F86B27" w:rsidRPr="00F86B27" w:rsidRDefault="00F86B27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>Deliver at pace in a high-pressure environment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5496B34B" w14:textId="0A0F963A" w:rsidR="00FF5FA5" w:rsidRDefault="00FF5FA5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1302D3B7" w14:textId="77777777" w:rsidR="00CD718B" w:rsidRPr="00B31DB4" w:rsidRDefault="00CD718B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54C35499" w14:textId="1D542BF6" w:rsidR="00FF5FA5" w:rsidRPr="00C4567B" w:rsidRDefault="00FF5FA5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b/>
                <w:sz w:val="16"/>
                <w:szCs w:val="16"/>
              </w:rPr>
              <w:t>Skills</w:t>
            </w:r>
          </w:p>
          <w:p w14:paraId="506D9980" w14:textId="16C93907" w:rsidR="00035610" w:rsidRDefault="00035610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Highly organised</w:t>
            </w:r>
          </w:p>
          <w:p w14:paraId="24E028C5" w14:textId="77777777" w:rsidR="002B0A6A" w:rsidRPr="009C5C23" w:rsidRDefault="002B0A6A" w:rsidP="002B0A6A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Att</w:t>
            </w: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ntion to detail</w:t>
            </w:r>
          </w:p>
          <w:p w14:paraId="668CDBD2" w14:textId="5D77D539" w:rsidR="00FF5FA5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Stakeholder</w:t>
            </w:r>
            <w:r w:rsidR="00FF5FA5" w:rsidRPr="00C4567B">
              <w:rPr>
                <w:rFonts w:ascii="DINRoundOT-Medium" w:hAnsi="DINRoundOT-Medium" w:cs="DINRoundOT-Medium"/>
                <w:sz w:val="16"/>
                <w:szCs w:val="16"/>
              </w:rPr>
              <w:t xml:space="preserve"> management</w:t>
            </w:r>
          </w:p>
          <w:p w14:paraId="70551982" w14:textId="33D412C4" w:rsidR="00547092" w:rsidRPr="00C4567B" w:rsidRDefault="00547092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Good negotiator</w:t>
            </w:r>
          </w:p>
          <w:p w14:paraId="11440A3A" w14:textId="74F94841" w:rsidR="00CD718B" w:rsidRPr="00C4567B" w:rsidRDefault="00FF5FA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Project management</w:t>
            </w:r>
          </w:p>
          <w:p w14:paraId="1A6A9A1F" w14:textId="5D97330D" w:rsidR="009C5C23" w:rsidRDefault="00053DB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Creative</w:t>
            </w:r>
            <w:r w:rsidR="009C5C23">
              <w:rPr>
                <w:rFonts w:ascii="DINRoundOT-Medium" w:hAnsi="DINRoundOT-Medium" w:cs="DINRoundOT-Medium"/>
                <w:sz w:val="16"/>
                <w:szCs w:val="16"/>
              </w:rPr>
              <w:t xml:space="preserve"> &amp; proactive</w:t>
            </w:r>
          </w:p>
          <w:p w14:paraId="1E6C09E7" w14:textId="64A972B3" w:rsidR="00596C50" w:rsidRDefault="00596C50" w:rsidP="00596C5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 understanding</w:t>
            </w:r>
          </w:p>
          <w:p w14:paraId="79892D47" w14:textId="77777777" w:rsidR="00ED0B65" w:rsidRPr="00596C50" w:rsidRDefault="00ED0B65" w:rsidP="00596C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E9AF4C1" w14:textId="5FF134D8" w:rsidR="00ED0B65" w:rsidRPr="00CD718B" w:rsidRDefault="00ED0B65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Qualifications:</w:t>
            </w:r>
          </w:p>
          <w:p w14:paraId="0284582C" w14:textId="6C5A0F3A" w:rsidR="00ED0B65" w:rsidRPr="00B31DB4" w:rsidRDefault="007E67F5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Relevant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Compliance or 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General </w:t>
            </w:r>
            <w:r w:rsidR="00106668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nsurance qualifications 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>(</w:t>
            </w:r>
            <w:r w:rsidR="00E81F34" w:rsidRPr="00126ECC">
              <w:rPr>
                <w:rFonts w:ascii="DINRoundOT-Medium" w:hAnsi="DINRoundOT-Medium" w:cs="DINRoundOT-Medium"/>
                <w:sz w:val="16"/>
                <w:szCs w:val="16"/>
              </w:rPr>
              <w:t>e.g.,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 xml:space="preserve"> CII) desirable but not essential</w:t>
            </w:r>
          </w:p>
        </w:tc>
        <w:tc>
          <w:tcPr>
            <w:tcW w:w="1858" w:type="dxa"/>
            <w:shd w:val="clear" w:color="auto" w:fill="auto"/>
          </w:tcPr>
          <w:p w14:paraId="301B0603" w14:textId="77777777" w:rsidR="00964D26" w:rsidRPr="00A528EF" w:rsidRDefault="00964D26" w:rsidP="00964D26">
            <w:pPr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  <w:t>Key Competencies</w:t>
            </w:r>
          </w:p>
          <w:p w14:paraId="17C27DBE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Achievement Drive (L3)</w:t>
            </w:r>
          </w:p>
          <w:p w14:paraId="1B5E9949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Building Relationships (L3)</w:t>
            </w:r>
          </w:p>
          <w:p w14:paraId="172B4AA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Judgment and Decision Making (L3)</w:t>
            </w:r>
          </w:p>
          <w:p w14:paraId="72DB51D9" w14:textId="0DC1C8A8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Commercial Awareness (L</w:t>
            </w:r>
            <w:r w:rsidR="00A556F0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62DFF95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Continuous Improvement (L3)</w:t>
            </w:r>
          </w:p>
          <w:p w14:paraId="456D5872" w14:textId="29992C89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Developing Self and Others (L</w:t>
            </w:r>
            <w:r w:rsidR="00D80F6D">
              <w:rPr>
                <w:rFonts w:ascii="DIN Round OT" w:hAnsi="DIN Round OT" w:cs="DINRoundOT"/>
                <w:sz w:val="16"/>
                <w:szCs w:val="16"/>
              </w:rPr>
              <w:t>2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0EE6DF1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Interpersonal &amp; Influencing Skills (L3)</w:t>
            </w:r>
          </w:p>
          <w:p w14:paraId="4A092862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 xml:space="preserve">Specialist Knowledge </w:t>
            </w:r>
          </w:p>
          <w:p w14:paraId="5C5F05D3" w14:textId="03C92E5A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Customer Focus (L</w:t>
            </w:r>
            <w:r w:rsidR="00D80F6D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446F61C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Leading Change (L3)</w:t>
            </w:r>
          </w:p>
          <w:p w14:paraId="00068E8C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Team Working (L3)</w:t>
            </w:r>
          </w:p>
          <w:p w14:paraId="45048A3C" w14:textId="77777777" w:rsidR="00ED0B65" w:rsidRPr="00B71631" w:rsidRDefault="00ED0B65">
            <w:pPr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4B5CCDF1" w14:textId="77777777" w:rsidR="00ED0B65" w:rsidRPr="00472249" w:rsidRDefault="00ED0B65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2557975" w14:textId="77777777" w:rsidR="00ED0B65" w:rsidRPr="00472249" w:rsidRDefault="00ED0B65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>Values</w:t>
            </w:r>
          </w:p>
          <w:p w14:paraId="64214E5A" w14:textId="77777777" w:rsidR="00ED0B65" w:rsidRPr="00472249" w:rsidRDefault="00ED0B65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</w:p>
          <w:p w14:paraId="6CC7AC28" w14:textId="5C865C77" w:rsidR="00ED0B65" w:rsidRPr="006D3D5B" w:rsidRDefault="00053DB9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Handle it Together</w:t>
            </w:r>
          </w:p>
          <w:p w14:paraId="68D3180F" w14:textId="77777777" w:rsidR="00ED0B65" w:rsidRPr="006D3D5B" w:rsidRDefault="00ED0B6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54EF123" w14:textId="52D4FBAD" w:rsidR="00ED0B65" w:rsidRPr="006D3D5B" w:rsidRDefault="00053DB9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Exceptional Service</w:t>
            </w:r>
          </w:p>
          <w:p w14:paraId="5C564D81" w14:textId="77777777" w:rsidR="00ED0B65" w:rsidRPr="006D3D5B" w:rsidRDefault="00ED0B6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E84838" w14:textId="651C5C4E" w:rsidR="00ED0B65" w:rsidRPr="006D3D5B" w:rsidRDefault="00053DB9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Raise the Bar</w:t>
            </w:r>
          </w:p>
          <w:p w14:paraId="651721BF" w14:textId="77777777" w:rsidR="00ED0B65" w:rsidRPr="006D3D5B" w:rsidRDefault="00ED0B6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08E6242" w14:textId="20973B84" w:rsidR="00ED0B65" w:rsidRDefault="00053DB9" w:rsidP="008A5FC7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 xml:space="preserve">Own </w:t>
            </w:r>
            <w:r w:rsidR="00A556F0" w:rsidRPr="006D3D5B">
              <w:rPr>
                <w:rFonts w:ascii="DINRoundOT-Medium" w:hAnsi="DINRoundOT-Medium" w:cs="DINRoundOT-Medium"/>
                <w:sz w:val="16"/>
                <w:szCs w:val="16"/>
              </w:rPr>
              <w:t>it</w:t>
            </w:r>
          </w:p>
          <w:p w14:paraId="1F6FFB2B" w14:textId="5E3BA0A2" w:rsidR="00A556F0" w:rsidRPr="00472249" w:rsidRDefault="00A556F0" w:rsidP="008A5FC7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</w:tr>
      <w:bookmarkEnd w:id="0"/>
    </w:tbl>
    <w:p w14:paraId="6D7DFE0C" w14:textId="77777777" w:rsidR="006A1AAE" w:rsidRDefault="006A1AAE" w:rsidP="008820CC"/>
    <w:sectPr w:rsidR="006A1AAE" w:rsidSect="001A1F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93"/>
    <w:multiLevelType w:val="hybridMultilevel"/>
    <w:tmpl w:val="34EA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4CBA"/>
    <w:multiLevelType w:val="hybridMultilevel"/>
    <w:tmpl w:val="73D0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42"/>
    <w:multiLevelType w:val="hybridMultilevel"/>
    <w:tmpl w:val="404C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C1"/>
    <w:multiLevelType w:val="hybridMultilevel"/>
    <w:tmpl w:val="67D8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E74B7"/>
    <w:multiLevelType w:val="hybridMultilevel"/>
    <w:tmpl w:val="DEC83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C61C2"/>
    <w:multiLevelType w:val="hybridMultilevel"/>
    <w:tmpl w:val="18AE1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2E1"/>
    <w:multiLevelType w:val="hybridMultilevel"/>
    <w:tmpl w:val="8EF6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97E9B"/>
    <w:multiLevelType w:val="hybridMultilevel"/>
    <w:tmpl w:val="CB34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5D60"/>
    <w:multiLevelType w:val="hybridMultilevel"/>
    <w:tmpl w:val="E264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315368">
    <w:abstractNumId w:val="5"/>
  </w:num>
  <w:num w:numId="2" w16cid:durableId="856773486">
    <w:abstractNumId w:val="0"/>
  </w:num>
  <w:num w:numId="3" w16cid:durableId="654408306">
    <w:abstractNumId w:val="9"/>
  </w:num>
  <w:num w:numId="4" w16cid:durableId="579408972">
    <w:abstractNumId w:val="4"/>
  </w:num>
  <w:num w:numId="5" w16cid:durableId="32729746">
    <w:abstractNumId w:val="10"/>
  </w:num>
  <w:num w:numId="6" w16cid:durableId="241724462">
    <w:abstractNumId w:val="8"/>
  </w:num>
  <w:num w:numId="7" w16cid:durableId="1937589384">
    <w:abstractNumId w:val="7"/>
  </w:num>
  <w:num w:numId="8" w16cid:durableId="158278358">
    <w:abstractNumId w:val="1"/>
  </w:num>
  <w:num w:numId="9" w16cid:durableId="2032805138">
    <w:abstractNumId w:val="3"/>
  </w:num>
  <w:num w:numId="10" w16cid:durableId="771555578">
    <w:abstractNumId w:val="6"/>
  </w:num>
  <w:num w:numId="11" w16cid:durableId="1918588393">
    <w:abstractNumId w:val="11"/>
  </w:num>
  <w:num w:numId="12" w16cid:durableId="302008124">
    <w:abstractNumId w:val="12"/>
  </w:num>
  <w:num w:numId="13" w16cid:durableId="669719660">
    <w:abstractNumId w:val="2"/>
  </w:num>
  <w:num w:numId="14" w16cid:durableId="180322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5"/>
    <w:rsid w:val="00025087"/>
    <w:rsid w:val="00035610"/>
    <w:rsid w:val="0004323C"/>
    <w:rsid w:val="00053DB9"/>
    <w:rsid w:val="00063470"/>
    <w:rsid w:val="000702AF"/>
    <w:rsid w:val="000713E2"/>
    <w:rsid w:val="0007502F"/>
    <w:rsid w:val="00081E6E"/>
    <w:rsid w:val="00084BEB"/>
    <w:rsid w:val="000A57B0"/>
    <w:rsid w:val="000A7143"/>
    <w:rsid w:val="000D10BF"/>
    <w:rsid w:val="000E206D"/>
    <w:rsid w:val="000F648A"/>
    <w:rsid w:val="000F7802"/>
    <w:rsid w:val="001007D4"/>
    <w:rsid w:val="00101E03"/>
    <w:rsid w:val="00106668"/>
    <w:rsid w:val="0011256F"/>
    <w:rsid w:val="0011642C"/>
    <w:rsid w:val="00117DDC"/>
    <w:rsid w:val="0012340C"/>
    <w:rsid w:val="001627C1"/>
    <w:rsid w:val="00162F65"/>
    <w:rsid w:val="00166FF7"/>
    <w:rsid w:val="00167FB4"/>
    <w:rsid w:val="00172F18"/>
    <w:rsid w:val="00181B0D"/>
    <w:rsid w:val="00192642"/>
    <w:rsid w:val="001A1F77"/>
    <w:rsid w:val="001B50EE"/>
    <w:rsid w:val="001D4F48"/>
    <w:rsid w:val="001E15A9"/>
    <w:rsid w:val="001F7FBA"/>
    <w:rsid w:val="002122EA"/>
    <w:rsid w:val="0021443A"/>
    <w:rsid w:val="00214E97"/>
    <w:rsid w:val="00226404"/>
    <w:rsid w:val="00244970"/>
    <w:rsid w:val="00254ADD"/>
    <w:rsid w:val="00257638"/>
    <w:rsid w:val="00273805"/>
    <w:rsid w:val="00295A0C"/>
    <w:rsid w:val="00295C94"/>
    <w:rsid w:val="00297D40"/>
    <w:rsid w:val="002A219A"/>
    <w:rsid w:val="002B0A6A"/>
    <w:rsid w:val="002D7DD9"/>
    <w:rsid w:val="003260D9"/>
    <w:rsid w:val="00326F2B"/>
    <w:rsid w:val="0036281C"/>
    <w:rsid w:val="0036520E"/>
    <w:rsid w:val="00371579"/>
    <w:rsid w:val="0037245B"/>
    <w:rsid w:val="0037524A"/>
    <w:rsid w:val="00395027"/>
    <w:rsid w:val="003A0A2A"/>
    <w:rsid w:val="003A1152"/>
    <w:rsid w:val="003A5C9A"/>
    <w:rsid w:val="003A629A"/>
    <w:rsid w:val="003B7532"/>
    <w:rsid w:val="003C2F26"/>
    <w:rsid w:val="003C5FFD"/>
    <w:rsid w:val="003C7C54"/>
    <w:rsid w:val="003D20B0"/>
    <w:rsid w:val="003F154A"/>
    <w:rsid w:val="003F2E53"/>
    <w:rsid w:val="003F748E"/>
    <w:rsid w:val="00412326"/>
    <w:rsid w:val="004225A5"/>
    <w:rsid w:val="004259BA"/>
    <w:rsid w:val="00435EC3"/>
    <w:rsid w:val="00437573"/>
    <w:rsid w:val="0044313A"/>
    <w:rsid w:val="00446A29"/>
    <w:rsid w:val="00446B5A"/>
    <w:rsid w:val="00455366"/>
    <w:rsid w:val="004562C0"/>
    <w:rsid w:val="00456CE5"/>
    <w:rsid w:val="00470B91"/>
    <w:rsid w:val="00490596"/>
    <w:rsid w:val="0049064A"/>
    <w:rsid w:val="004C1C11"/>
    <w:rsid w:val="004C589C"/>
    <w:rsid w:val="004D01F1"/>
    <w:rsid w:val="004D67F5"/>
    <w:rsid w:val="004E4BAB"/>
    <w:rsid w:val="004F36A2"/>
    <w:rsid w:val="0050334E"/>
    <w:rsid w:val="00503615"/>
    <w:rsid w:val="005205CD"/>
    <w:rsid w:val="00546F12"/>
    <w:rsid w:val="00547092"/>
    <w:rsid w:val="005529EF"/>
    <w:rsid w:val="00554FE6"/>
    <w:rsid w:val="005772A6"/>
    <w:rsid w:val="00596C50"/>
    <w:rsid w:val="005A092C"/>
    <w:rsid w:val="005A1AA8"/>
    <w:rsid w:val="005D2FDC"/>
    <w:rsid w:val="005E4EC3"/>
    <w:rsid w:val="005F4755"/>
    <w:rsid w:val="006030B7"/>
    <w:rsid w:val="00621B62"/>
    <w:rsid w:val="00633970"/>
    <w:rsid w:val="00634329"/>
    <w:rsid w:val="006538B6"/>
    <w:rsid w:val="0066189C"/>
    <w:rsid w:val="00664F16"/>
    <w:rsid w:val="00665511"/>
    <w:rsid w:val="00671A9B"/>
    <w:rsid w:val="0067240A"/>
    <w:rsid w:val="006802BB"/>
    <w:rsid w:val="00692486"/>
    <w:rsid w:val="00695481"/>
    <w:rsid w:val="006A1AAE"/>
    <w:rsid w:val="006A1D18"/>
    <w:rsid w:val="006B043E"/>
    <w:rsid w:val="006B5823"/>
    <w:rsid w:val="006D3D5B"/>
    <w:rsid w:val="006E2E01"/>
    <w:rsid w:val="006E4F00"/>
    <w:rsid w:val="006F3E40"/>
    <w:rsid w:val="00702B56"/>
    <w:rsid w:val="00711A8B"/>
    <w:rsid w:val="007205A9"/>
    <w:rsid w:val="00726620"/>
    <w:rsid w:val="00726E8C"/>
    <w:rsid w:val="00727517"/>
    <w:rsid w:val="00730AE5"/>
    <w:rsid w:val="00733104"/>
    <w:rsid w:val="007365F5"/>
    <w:rsid w:val="0076092F"/>
    <w:rsid w:val="00760FD3"/>
    <w:rsid w:val="00774497"/>
    <w:rsid w:val="00785468"/>
    <w:rsid w:val="007958B5"/>
    <w:rsid w:val="007A4769"/>
    <w:rsid w:val="007A5F37"/>
    <w:rsid w:val="007B1952"/>
    <w:rsid w:val="007B3645"/>
    <w:rsid w:val="007B6D91"/>
    <w:rsid w:val="007C3200"/>
    <w:rsid w:val="007C33D6"/>
    <w:rsid w:val="007D7AE9"/>
    <w:rsid w:val="007E1795"/>
    <w:rsid w:val="007E58DA"/>
    <w:rsid w:val="007E67F5"/>
    <w:rsid w:val="007E7C8E"/>
    <w:rsid w:val="007F11E8"/>
    <w:rsid w:val="007F73C6"/>
    <w:rsid w:val="00801782"/>
    <w:rsid w:val="00801BC0"/>
    <w:rsid w:val="0080200D"/>
    <w:rsid w:val="00803C81"/>
    <w:rsid w:val="0082199D"/>
    <w:rsid w:val="0082437B"/>
    <w:rsid w:val="00824A5D"/>
    <w:rsid w:val="00827239"/>
    <w:rsid w:val="0083540A"/>
    <w:rsid w:val="008445C9"/>
    <w:rsid w:val="0084641D"/>
    <w:rsid w:val="00854DCB"/>
    <w:rsid w:val="00856EED"/>
    <w:rsid w:val="00861F9D"/>
    <w:rsid w:val="0087038F"/>
    <w:rsid w:val="0087242F"/>
    <w:rsid w:val="008765AC"/>
    <w:rsid w:val="008820CC"/>
    <w:rsid w:val="00883F08"/>
    <w:rsid w:val="008A5FC7"/>
    <w:rsid w:val="008A7DB2"/>
    <w:rsid w:val="008B0086"/>
    <w:rsid w:val="008C1442"/>
    <w:rsid w:val="008D1F46"/>
    <w:rsid w:val="008E5E34"/>
    <w:rsid w:val="008E780A"/>
    <w:rsid w:val="00905BEC"/>
    <w:rsid w:val="00921753"/>
    <w:rsid w:val="00924DF6"/>
    <w:rsid w:val="00926261"/>
    <w:rsid w:val="009354F5"/>
    <w:rsid w:val="00962098"/>
    <w:rsid w:val="00964D26"/>
    <w:rsid w:val="00970BC1"/>
    <w:rsid w:val="009950DA"/>
    <w:rsid w:val="009A044B"/>
    <w:rsid w:val="009A1305"/>
    <w:rsid w:val="009A4C28"/>
    <w:rsid w:val="009A663F"/>
    <w:rsid w:val="009C0E76"/>
    <w:rsid w:val="009C174F"/>
    <w:rsid w:val="009C5C23"/>
    <w:rsid w:val="009D2B9D"/>
    <w:rsid w:val="009F165A"/>
    <w:rsid w:val="009F673C"/>
    <w:rsid w:val="00A140BF"/>
    <w:rsid w:val="00A22443"/>
    <w:rsid w:val="00A27794"/>
    <w:rsid w:val="00A46BC7"/>
    <w:rsid w:val="00A50C82"/>
    <w:rsid w:val="00A556F0"/>
    <w:rsid w:val="00A65A02"/>
    <w:rsid w:val="00A71AE9"/>
    <w:rsid w:val="00A807BC"/>
    <w:rsid w:val="00A81815"/>
    <w:rsid w:val="00A865BB"/>
    <w:rsid w:val="00A875AB"/>
    <w:rsid w:val="00A90490"/>
    <w:rsid w:val="00A95988"/>
    <w:rsid w:val="00AA6B11"/>
    <w:rsid w:val="00AA6F51"/>
    <w:rsid w:val="00AB0CB9"/>
    <w:rsid w:val="00AB3F01"/>
    <w:rsid w:val="00AB626B"/>
    <w:rsid w:val="00AB75F6"/>
    <w:rsid w:val="00AC07B2"/>
    <w:rsid w:val="00AD1F6D"/>
    <w:rsid w:val="00AD2ABB"/>
    <w:rsid w:val="00AF278C"/>
    <w:rsid w:val="00AF4CAE"/>
    <w:rsid w:val="00B04D1E"/>
    <w:rsid w:val="00B05387"/>
    <w:rsid w:val="00B07D15"/>
    <w:rsid w:val="00B11841"/>
    <w:rsid w:val="00B31DB4"/>
    <w:rsid w:val="00B57B85"/>
    <w:rsid w:val="00B67216"/>
    <w:rsid w:val="00B715BE"/>
    <w:rsid w:val="00B71631"/>
    <w:rsid w:val="00B92094"/>
    <w:rsid w:val="00BA50DF"/>
    <w:rsid w:val="00BC1916"/>
    <w:rsid w:val="00BE012D"/>
    <w:rsid w:val="00BF29DB"/>
    <w:rsid w:val="00C05552"/>
    <w:rsid w:val="00C0618F"/>
    <w:rsid w:val="00C1011C"/>
    <w:rsid w:val="00C4567B"/>
    <w:rsid w:val="00C84C2E"/>
    <w:rsid w:val="00C94851"/>
    <w:rsid w:val="00CA67D0"/>
    <w:rsid w:val="00CB0697"/>
    <w:rsid w:val="00CC23FA"/>
    <w:rsid w:val="00CD4010"/>
    <w:rsid w:val="00CD718B"/>
    <w:rsid w:val="00CF0DA6"/>
    <w:rsid w:val="00CF1D56"/>
    <w:rsid w:val="00CF4739"/>
    <w:rsid w:val="00CF6A19"/>
    <w:rsid w:val="00D018E3"/>
    <w:rsid w:val="00D03A54"/>
    <w:rsid w:val="00D05E3A"/>
    <w:rsid w:val="00D26A57"/>
    <w:rsid w:val="00D350C3"/>
    <w:rsid w:val="00D36B90"/>
    <w:rsid w:val="00D4081C"/>
    <w:rsid w:val="00D411B4"/>
    <w:rsid w:val="00D42E6C"/>
    <w:rsid w:val="00D528A7"/>
    <w:rsid w:val="00D61FA7"/>
    <w:rsid w:val="00D61FA8"/>
    <w:rsid w:val="00D66067"/>
    <w:rsid w:val="00D7083E"/>
    <w:rsid w:val="00D80F6D"/>
    <w:rsid w:val="00D82833"/>
    <w:rsid w:val="00D85FE8"/>
    <w:rsid w:val="00DB1FD6"/>
    <w:rsid w:val="00DD5B09"/>
    <w:rsid w:val="00DE1065"/>
    <w:rsid w:val="00DF6CEC"/>
    <w:rsid w:val="00E079A3"/>
    <w:rsid w:val="00E11CED"/>
    <w:rsid w:val="00E1302F"/>
    <w:rsid w:val="00E2400F"/>
    <w:rsid w:val="00E30690"/>
    <w:rsid w:val="00E334C7"/>
    <w:rsid w:val="00E37F3D"/>
    <w:rsid w:val="00E40B3C"/>
    <w:rsid w:val="00E4343B"/>
    <w:rsid w:val="00E45650"/>
    <w:rsid w:val="00E5342C"/>
    <w:rsid w:val="00E54650"/>
    <w:rsid w:val="00E61B6C"/>
    <w:rsid w:val="00E700D8"/>
    <w:rsid w:val="00E72EC0"/>
    <w:rsid w:val="00E733BA"/>
    <w:rsid w:val="00E7563B"/>
    <w:rsid w:val="00E81F34"/>
    <w:rsid w:val="00E92734"/>
    <w:rsid w:val="00E972C0"/>
    <w:rsid w:val="00EA093D"/>
    <w:rsid w:val="00ED0406"/>
    <w:rsid w:val="00ED0B65"/>
    <w:rsid w:val="00ED3AA8"/>
    <w:rsid w:val="00ED59BE"/>
    <w:rsid w:val="00EE1EB7"/>
    <w:rsid w:val="00F0644A"/>
    <w:rsid w:val="00F120F9"/>
    <w:rsid w:val="00F14BFE"/>
    <w:rsid w:val="00F30082"/>
    <w:rsid w:val="00F402E7"/>
    <w:rsid w:val="00F403FD"/>
    <w:rsid w:val="00F4154B"/>
    <w:rsid w:val="00F462F8"/>
    <w:rsid w:val="00F534F9"/>
    <w:rsid w:val="00F75B58"/>
    <w:rsid w:val="00F86B27"/>
    <w:rsid w:val="00F87F13"/>
    <w:rsid w:val="00F93909"/>
    <w:rsid w:val="00FB0133"/>
    <w:rsid w:val="00FB2A28"/>
    <w:rsid w:val="00FB5770"/>
    <w:rsid w:val="00FB61D2"/>
    <w:rsid w:val="00FB6948"/>
    <w:rsid w:val="00FC0726"/>
    <w:rsid w:val="00FC2420"/>
    <w:rsid w:val="00FC2B99"/>
    <w:rsid w:val="00FD0A93"/>
    <w:rsid w:val="00FD53C3"/>
    <w:rsid w:val="00FE13EA"/>
    <w:rsid w:val="00FE756B"/>
    <w:rsid w:val="00FF5FA5"/>
    <w:rsid w:val="05450EAA"/>
    <w:rsid w:val="368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AC1FAF"/>
  <w15:chartTrackingRefBased/>
  <w15:docId w15:val="{1CA04BEF-0CC5-4EB6-9DD5-3DA6F69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B65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0B65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  <w:style w:type="paragraph" w:styleId="NoSpacing">
    <w:name w:val="No Spacing"/>
    <w:uiPriority w:val="1"/>
    <w:qFormat/>
    <w:rsid w:val="00E9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88-7D76-40EA-BDAE-2CE7A28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Bruce</dc:creator>
  <cp:keywords/>
  <dc:description/>
  <cp:lastModifiedBy>Danielle Parker-Thomas</cp:lastModifiedBy>
  <cp:revision>4</cp:revision>
  <cp:lastPrinted>2024-11-05T14:01:00Z</cp:lastPrinted>
  <dcterms:created xsi:type="dcterms:W3CDTF">2024-11-06T10:42:00Z</dcterms:created>
  <dcterms:modified xsi:type="dcterms:W3CDTF">2024-11-06T11:58:00Z</dcterms:modified>
</cp:coreProperties>
</file>