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6"/>
      </w:tblGrid>
      <w:tr w:rsidR="00B04024" w:rsidRPr="00817AB1" w14:paraId="0C273FC6" w14:textId="77777777" w:rsidTr="00196DA6">
        <w:tc>
          <w:tcPr>
            <w:tcW w:w="14596" w:type="dxa"/>
            <w:shd w:val="clear" w:color="auto" w:fill="D9D9D9" w:themeFill="background1" w:themeFillShade="D9"/>
          </w:tcPr>
          <w:p w14:paraId="0CF41DC8" w14:textId="77777777" w:rsidR="00B04024" w:rsidRPr="00817AB1" w:rsidRDefault="005604C8" w:rsidP="00A678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RAC ROLE PROFILE</w:t>
            </w:r>
          </w:p>
        </w:tc>
      </w:tr>
    </w:tbl>
    <w:p w14:paraId="58C658A8" w14:textId="77777777" w:rsidR="00B04024" w:rsidRDefault="00B04024">
      <w:pPr>
        <w:rPr>
          <w:rFonts w:ascii="Arial" w:hAnsi="Arial"/>
        </w:rPr>
      </w:pPr>
    </w:p>
    <w:p w14:paraId="4C441B0B" w14:textId="65932FA6" w:rsidR="00B04024" w:rsidRPr="000247AE" w:rsidRDefault="00B04024" w:rsidP="00196DA6">
      <w:pPr>
        <w:tabs>
          <w:tab w:val="right" w:pos="14600"/>
        </w:tabs>
        <w:rPr>
          <w:rFonts w:asciiTheme="minorHAnsi" w:hAnsiTheme="minorHAnsi"/>
          <w:b/>
          <w:sz w:val="24"/>
          <w:szCs w:val="24"/>
        </w:rPr>
      </w:pPr>
      <w:r w:rsidRPr="000247AE">
        <w:rPr>
          <w:rFonts w:asciiTheme="minorHAnsi" w:hAnsiTheme="minorHAnsi"/>
          <w:b/>
          <w:sz w:val="24"/>
          <w:szCs w:val="24"/>
        </w:rPr>
        <w:t xml:space="preserve">Title: </w:t>
      </w:r>
      <w:r w:rsidR="00CD3B1D">
        <w:rPr>
          <w:rFonts w:asciiTheme="minorHAnsi" w:hAnsiTheme="minorHAnsi"/>
          <w:b/>
          <w:sz w:val="24"/>
          <w:szCs w:val="24"/>
        </w:rPr>
        <w:t xml:space="preserve">Regulatory and Assurance Accountant </w:t>
      </w:r>
      <w:r w:rsidR="00745F48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 xml:space="preserve">Reports to: </w:t>
      </w:r>
      <w:r w:rsidR="00CD3B1D">
        <w:rPr>
          <w:rFonts w:asciiTheme="minorHAnsi" w:hAnsiTheme="minorHAnsi"/>
          <w:b/>
          <w:sz w:val="24"/>
          <w:szCs w:val="24"/>
        </w:rPr>
        <w:t>Group Financial Controller</w:t>
      </w:r>
    </w:p>
    <w:p w14:paraId="6BCE520E" w14:textId="77777777" w:rsidR="00B04024" w:rsidRPr="000247AE" w:rsidRDefault="00B04024">
      <w:pPr>
        <w:rPr>
          <w:rFonts w:asciiTheme="minorHAnsi" w:hAnsiTheme="minorHAnsi"/>
          <w:b/>
          <w:sz w:val="24"/>
          <w:szCs w:val="24"/>
        </w:rPr>
      </w:pP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</w:p>
    <w:p w14:paraId="652ED3DA" w14:textId="46DBDD09" w:rsidR="00B04024" w:rsidRPr="000247AE" w:rsidRDefault="00B04024" w:rsidP="00196DA6">
      <w:pPr>
        <w:tabs>
          <w:tab w:val="left" w:pos="5670"/>
          <w:tab w:val="right" w:pos="14600"/>
        </w:tabs>
        <w:rPr>
          <w:rFonts w:asciiTheme="minorHAnsi" w:hAnsiTheme="minorHAnsi"/>
          <w:b/>
          <w:sz w:val="24"/>
          <w:szCs w:val="24"/>
        </w:rPr>
      </w:pPr>
      <w:r w:rsidRPr="000247AE">
        <w:rPr>
          <w:rFonts w:asciiTheme="minorHAnsi" w:hAnsiTheme="minorHAnsi"/>
          <w:b/>
          <w:sz w:val="24"/>
          <w:szCs w:val="24"/>
        </w:rPr>
        <w:t xml:space="preserve">Business: </w:t>
      </w:r>
      <w:r w:rsidR="00366399" w:rsidRPr="000247AE">
        <w:rPr>
          <w:rFonts w:asciiTheme="minorHAnsi" w:hAnsiTheme="minorHAnsi"/>
          <w:b/>
          <w:sz w:val="24"/>
          <w:szCs w:val="24"/>
        </w:rPr>
        <w:t>Finance</w:t>
      </w:r>
      <w:r w:rsidR="00196DA6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 xml:space="preserve">Location: </w:t>
      </w:r>
      <w:r w:rsidR="00D412F1">
        <w:rPr>
          <w:rFonts w:asciiTheme="minorHAnsi" w:hAnsiTheme="minorHAnsi"/>
          <w:b/>
          <w:sz w:val="24"/>
          <w:szCs w:val="24"/>
        </w:rPr>
        <w:t>Besco</w:t>
      </w:r>
      <w:r w:rsidR="00D010E0">
        <w:rPr>
          <w:rFonts w:asciiTheme="minorHAnsi" w:hAnsiTheme="minorHAnsi"/>
          <w:b/>
          <w:sz w:val="24"/>
          <w:szCs w:val="24"/>
        </w:rPr>
        <w:t>t</w:t>
      </w:r>
      <w:r w:rsidR="00CD3B1D">
        <w:rPr>
          <w:rFonts w:asciiTheme="minorHAnsi" w:hAnsiTheme="minorHAnsi"/>
          <w:b/>
          <w:sz w:val="24"/>
          <w:szCs w:val="24"/>
        </w:rPr>
        <w:t xml:space="preserve"> (Hybrid)</w:t>
      </w:r>
      <w:r w:rsidR="00810227">
        <w:rPr>
          <w:rFonts w:asciiTheme="minorHAnsi" w:hAnsiTheme="minorHAnsi"/>
          <w:b/>
          <w:sz w:val="24"/>
          <w:szCs w:val="24"/>
        </w:rPr>
        <w:tab/>
        <w:t xml:space="preserve">Grade: </w:t>
      </w:r>
      <w:r w:rsidR="00CD3B1D">
        <w:rPr>
          <w:rFonts w:asciiTheme="minorHAnsi" w:hAnsiTheme="minorHAnsi"/>
          <w:b/>
          <w:sz w:val="24"/>
          <w:szCs w:val="24"/>
        </w:rPr>
        <w:t>D</w:t>
      </w:r>
    </w:p>
    <w:p w14:paraId="50823A45" w14:textId="77777777" w:rsidR="00817AB1" w:rsidRPr="000247AE" w:rsidRDefault="00817AB1">
      <w:pPr>
        <w:rPr>
          <w:rFonts w:asciiTheme="minorHAnsi" w:hAnsiTheme="minorHAnsi"/>
          <w:b/>
          <w:sz w:val="24"/>
          <w:szCs w:val="24"/>
        </w:rPr>
      </w:pPr>
    </w:p>
    <w:p w14:paraId="2F024E5F" w14:textId="77777777" w:rsidR="00B04024" w:rsidRPr="000247AE" w:rsidRDefault="00B04024">
      <w:pPr>
        <w:rPr>
          <w:rFonts w:asciiTheme="minorHAnsi" w:hAnsiTheme="minorHAnsi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812"/>
        <w:gridCol w:w="2977"/>
        <w:gridCol w:w="2602"/>
      </w:tblGrid>
      <w:tr w:rsidR="00661D5B" w:rsidRPr="00817AB1" w14:paraId="1B4B2899" w14:textId="77777777" w:rsidTr="00C91EE1">
        <w:trPr>
          <w:trHeight w:hRule="exact" w:val="2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722515D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  <w:bookmarkStart w:id="0" w:name="_903f7582_7050_4622_9517_830d80e7be45"/>
            <w:bookmarkStart w:id="1" w:name="_2b783977_edcb_41c7_bf67_269148717eec"/>
            <w:bookmarkEnd w:id="0"/>
          </w:p>
          <w:p w14:paraId="5A982EC1" w14:textId="77777777" w:rsidR="00661D5B" w:rsidRPr="0053003D" w:rsidRDefault="00661D5B" w:rsidP="00C91EE1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  <w:r w:rsidRPr="0053003D">
              <w:rPr>
                <w:rFonts w:asciiTheme="minorHAnsi" w:hAnsiTheme="minorHAnsi"/>
                <w:sz w:val="18"/>
                <w:szCs w:val="18"/>
              </w:rPr>
              <w:t xml:space="preserve">financial performance of </w:t>
            </w:r>
            <w:r>
              <w:rPr>
                <w:rFonts w:asciiTheme="minorHAnsi" w:hAnsiTheme="minorHAnsi"/>
                <w:sz w:val="18"/>
                <w:szCs w:val="18"/>
              </w:rPr>
              <w:t>Head office business areas</w:t>
            </w:r>
            <w:r w:rsidRPr="0053003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including monthly reporting and forecasting.</w:t>
            </w:r>
          </w:p>
          <w:p w14:paraId="1B469761" w14:textId="77777777" w:rsidR="00661D5B" w:rsidRPr="0053003D" w:rsidRDefault="00661D5B" w:rsidP="00C91EE1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  <w:p w14:paraId="7E2A21FA" w14:textId="77777777" w:rsidR="00661D5B" w:rsidRPr="0053003D" w:rsidRDefault="00661D5B" w:rsidP="00C91EE1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</w:p>
          <w:p w14:paraId="31666770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09AF1A7" w14:textId="77777777" w:rsidR="00661D5B" w:rsidRPr="0053003D" w:rsidRDefault="00661D5B" w:rsidP="00C91EE1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</w:p>
          <w:p w14:paraId="133575D4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4F5F78C" w14:textId="77777777" w:rsidR="00661D5B" w:rsidRPr="0053003D" w:rsidRDefault="00661D5B" w:rsidP="00C91EE1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</w:p>
          <w:p w14:paraId="6B266BCE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C02B5A6" w14:textId="77777777" w:rsidR="00661D5B" w:rsidRDefault="00661D5B">
            <w:pPr>
              <w:rPr>
                <w:sz w:val="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EFF65DD" w14:textId="77777777" w:rsidR="00661D5B" w:rsidRPr="00B6369A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6F3B0D8" w14:textId="77777777" w:rsidR="00661D5B" w:rsidRPr="00B6369A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DD414FA" w14:textId="77777777" w:rsidR="00661D5B" w:rsidRDefault="00661D5B" w:rsidP="00C91EE1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ead office business </w:t>
            </w:r>
            <w:r>
              <w:rPr>
                <w:rFonts w:asciiTheme="minorHAnsi" w:hAnsiTheme="minorHAnsi"/>
                <w:sz w:val="18"/>
                <w:szCs w:val="18"/>
              </w:rPr>
              <w:t>areas such as HR &amp; Health &amp; Safety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. Will be required to support other </w:t>
            </w:r>
            <w:r>
              <w:rPr>
                <w:rFonts w:asciiTheme="minorHAnsi" w:hAnsiTheme="minorHAnsi"/>
                <w:sz w:val="18"/>
                <w:szCs w:val="18"/>
              </w:rPr>
              <w:t>head office business areas and FP&amp;A requirements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 as and when required</w:t>
            </w:r>
          </w:p>
          <w:p w14:paraId="0C3591BE" w14:textId="77777777" w:rsidR="00661D5B" w:rsidRPr="00B6369A" w:rsidRDefault="00661D5B" w:rsidP="00C91EE1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  <w:p w14:paraId="7E24CE1B" w14:textId="77777777" w:rsidR="00661D5B" w:rsidRPr="00B6369A" w:rsidRDefault="00661D5B" w:rsidP="00C91EE1">
            <w:pPr>
              <w:pStyle w:val="Default"/>
              <w:rPr>
                <w:b/>
                <w:bCs/>
                <w:sz w:val="18"/>
                <w:szCs w:val="18"/>
                <w:u w:val="single"/>
              </w:rPr>
            </w:pPr>
          </w:p>
          <w:p w14:paraId="6503E8D4" w14:textId="77777777" w:rsidR="00661D5B" w:rsidRPr="00C52E3D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>ts</w:t>
            </w:r>
            <w:proofErr w:type="spellEnd"/>
            <w:r w:rsidRPr="00B6369A">
              <w:rPr>
                <w:rFonts w:asciiTheme="minorHAnsi" w:hAnsiTheme="minorHAnsi"/>
                <w:sz w:val="18"/>
                <w:szCs w:val="18"/>
              </w:rPr>
              <w:t xml:space="preserve"> of financial control, </w:t>
            </w:r>
            <w:r>
              <w:rPr>
                <w:rFonts w:asciiTheme="minorHAnsi" w:hAnsiTheme="minorHAnsi"/>
                <w:sz w:val="18"/>
                <w:szCs w:val="18"/>
              </w:rPr>
              <w:t>including production of monthly management accounts, with P&amp;L, balance sheet &amp; cash flow with variance analysis and commentary</w:t>
            </w:r>
          </w:p>
          <w:p w14:paraId="6207F324" w14:textId="77777777" w:rsidR="00661D5B" w:rsidRPr="00B6369A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B6369A">
              <w:rPr>
                <w:rFonts w:asciiTheme="minorHAnsi" w:hAnsiTheme="minorHAnsi"/>
                <w:sz w:val="18"/>
                <w:szCs w:val="18"/>
              </w:rPr>
              <w:t xml:space="preserve">monthly reporting, annual budgets, periodic reforecasts and </w:t>
            </w:r>
            <w:proofErr w:type="spellStart"/>
            <w:r w:rsidRPr="00B6369A">
              <w:rPr>
                <w:rFonts w:asciiTheme="minorHAnsi" w:hAnsiTheme="minorHAnsi"/>
                <w:sz w:val="18"/>
                <w:szCs w:val="18"/>
              </w:rPr>
              <w:t>adhoc</w:t>
            </w:r>
            <w:proofErr w:type="spellEnd"/>
            <w:r w:rsidRPr="00B6369A">
              <w:rPr>
                <w:rFonts w:asciiTheme="minorHAnsi" w:hAnsiTheme="minorHAnsi"/>
                <w:sz w:val="18"/>
                <w:szCs w:val="18"/>
              </w:rPr>
              <w:t xml:space="preserve"> analysis to support business objectives</w:t>
            </w:r>
          </w:p>
          <w:p w14:paraId="66079C05" w14:textId="77777777" w:rsidR="00661D5B" w:rsidRPr="00B6369A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14:paraId="4CF953E4" w14:textId="77777777" w:rsidR="00661D5B" w:rsidRPr="00B6369A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for the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 business area management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team</w:t>
            </w:r>
          </w:p>
          <w:p w14:paraId="14143722" w14:textId="77777777" w:rsidR="00661D5B" w:rsidRPr="00B6369A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where applicable</w:t>
            </w:r>
          </w:p>
          <w:p w14:paraId="6693DD01" w14:textId="77777777" w:rsidR="00661D5B" w:rsidRPr="00B6369A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project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 spend against budget and agreed KPIs &amp; milestones </w:t>
            </w:r>
          </w:p>
          <w:p w14:paraId="51925E68" w14:textId="77777777" w:rsidR="00661D5B" w:rsidRPr="003617D7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&amp; accounting 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standards and governance </w:t>
            </w:r>
            <w:r w:rsidRPr="003617D7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773C9CF6" w14:textId="77777777" w:rsidR="00661D5B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6369A">
              <w:rPr>
                <w:rFonts w:asciiTheme="minorHAnsi" w:hAnsiTheme="minorHAnsi"/>
                <w:sz w:val="18"/>
                <w:szCs w:val="18"/>
              </w:rPr>
              <w:t>dentify</w:t>
            </w:r>
            <w:proofErr w:type="spellEnd"/>
            <w:r w:rsidRPr="00B6369A">
              <w:rPr>
                <w:rFonts w:asciiTheme="minorHAnsi" w:hAnsiTheme="minorHAnsi"/>
                <w:sz w:val="18"/>
                <w:szCs w:val="18"/>
              </w:rPr>
              <w:t xml:space="preserve"> opportunities to add value through contin</w:t>
            </w:r>
            <w:r>
              <w:rPr>
                <w:rFonts w:asciiTheme="minorHAnsi" w:hAnsiTheme="minorHAnsi"/>
                <w:sz w:val="18"/>
                <w:szCs w:val="18"/>
              </w:rPr>
              <w:t>uous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 focus on process enhancement </w:t>
            </w:r>
          </w:p>
          <w:p w14:paraId="6B5E79C2" w14:textId="77777777" w:rsidR="00661D5B" w:rsidRPr="003617D7" w:rsidRDefault="00661D5B" w:rsidP="00C91EE1">
            <w:pPr>
              <w:ind w:left="360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14:paraId="2271F300" w14:textId="77777777" w:rsidR="00661D5B" w:rsidRPr="00B6369A" w:rsidRDefault="00661D5B" w:rsidP="00C91EE1">
            <w:pPr>
              <w:pStyle w:val="Default"/>
              <w:rPr>
                <w:b/>
                <w:bCs/>
                <w:sz w:val="18"/>
                <w:szCs w:val="18"/>
                <w:u w:val="single"/>
              </w:rPr>
            </w:pPr>
          </w:p>
          <w:p w14:paraId="088413A8" w14:textId="77777777" w:rsidR="00661D5B" w:rsidRPr="00B6369A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14:paraId="4DF2C08A" w14:textId="77777777" w:rsidR="00661D5B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cost</w:t>
            </w:r>
            <w:r w:rsidRPr="00B6369A">
              <w:rPr>
                <w:rFonts w:asciiTheme="minorHAnsi" w:hAnsiTheme="minorHAnsi"/>
                <w:sz w:val="18"/>
                <w:szCs w:val="18"/>
              </w:rPr>
              <w:t xml:space="preserve"> drivers, under/over performance, trends and actions to drive improvement </w:t>
            </w:r>
          </w:p>
          <w:p w14:paraId="74D143EC" w14:textId="77777777" w:rsidR="00661D5B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14:paraId="1B27B41D" w14:textId="77777777" w:rsidR="00661D5B" w:rsidRPr="00C52E3D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projects and business cases</w:t>
            </w:r>
          </w:p>
          <w:p w14:paraId="5D358E48" w14:textId="77777777" w:rsidR="00661D5B" w:rsidRPr="00B6369A" w:rsidRDefault="00661D5B" w:rsidP="00C91E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14:paraId="6AA04083" w14:textId="77777777" w:rsidR="00661D5B" w:rsidRPr="00B6369A" w:rsidRDefault="00661D5B" w:rsidP="00C91EE1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  <w:p w14:paraId="20D7D20F" w14:textId="77777777" w:rsidR="00661D5B" w:rsidRPr="0053003D" w:rsidRDefault="00661D5B" w:rsidP="00C91EE1">
            <w:pPr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2A25594" w14:textId="77777777" w:rsidR="00661D5B" w:rsidRDefault="00661D5B">
            <w:pPr>
              <w:rPr>
                <w:sz w:val="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8B9D738" w14:textId="77777777" w:rsidR="00661D5B" w:rsidRPr="00661D5B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53003D">
              <w:rPr>
                <w:rFonts w:asciiTheme="minorHAnsi" w:hAnsiTheme="minorHAnsi"/>
                <w:bCs/>
                <w:sz w:val="18"/>
                <w:szCs w:val="18"/>
              </w:rPr>
              <w:t xml:space="preserve">ACA, CIMA or ACCA qualified accountant with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some finance experience</w:t>
            </w:r>
          </w:p>
          <w:p w14:paraId="0C8271FD" w14:textId="77777777" w:rsidR="00661D5B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035BA718" w14:textId="77777777" w:rsidR="00661D5B" w:rsidRPr="0053003D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</w:t>
            </w:r>
            <w:r w:rsidRPr="0053003D">
              <w:rPr>
                <w:rFonts w:asciiTheme="minorHAnsi" w:hAnsiTheme="minorHAnsi"/>
                <w:bCs/>
                <w:sz w:val="18"/>
                <w:szCs w:val="18"/>
              </w:rPr>
              <w:t xml:space="preserve">nalytical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and financial modelling s</w:t>
            </w:r>
            <w:r w:rsidRPr="0053003D">
              <w:rPr>
                <w:rFonts w:asciiTheme="minorHAnsi" w:hAnsiTheme="minorHAnsi"/>
                <w:bCs/>
                <w:sz w:val="18"/>
                <w:szCs w:val="18"/>
              </w:rPr>
              <w:t>kills</w:t>
            </w:r>
          </w:p>
          <w:p w14:paraId="6E25EF53" w14:textId="77777777" w:rsidR="00661D5B" w:rsidRPr="0053003D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405B386A" w14:textId="77777777" w:rsidR="00661D5B" w:rsidRPr="0053003D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06901EB1" w14:textId="77777777" w:rsidR="00661D5B" w:rsidRPr="0053003D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61F61A28" w14:textId="77777777" w:rsidR="00661D5B" w:rsidRPr="0053003D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395650AA" w14:textId="77777777" w:rsidR="00661D5B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3F616552" w14:textId="77777777" w:rsidR="00661D5B" w:rsidRPr="00B6369A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B6369A">
              <w:rPr>
                <w:rFonts w:asciiTheme="minorHAnsi" w:hAnsiTheme="minorHAnsi"/>
                <w:bCs/>
                <w:sz w:val="18"/>
                <w:szCs w:val="18"/>
              </w:rPr>
              <w:t>ble</w:t>
            </w:r>
            <w:proofErr w:type="spellEnd"/>
            <w:r w:rsidRPr="00B6369A">
              <w:rPr>
                <w:rFonts w:asciiTheme="minorHAnsi" w:hAnsiTheme="minorHAnsi"/>
                <w:bCs/>
                <w:sz w:val="18"/>
                <w:szCs w:val="18"/>
              </w:rPr>
              <w:t xml:space="preserve"> to challenge constructively</w:t>
            </w:r>
          </w:p>
          <w:p w14:paraId="1678D348" w14:textId="77777777" w:rsidR="00661D5B" w:rsidRPr="0053003D" w:rsidRDefault="00661D5B" w:rsidP="00C91EE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344E387D" w14:textId="77777777" w:rsidR="00661D5B" w:rsidRPr="0053003D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7D9EA41" w14:textId="77777777" w:rsidR="00661D5B" w:rsidRPr="0053003D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DFC8718" w14:textId="77777777" w:rsidR="00661D5B" w:rsidRPr="0053003D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BD78880" w14:textId="77777777" w:rsidR="00661D5B" w:rsidRPr="0053003D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69C55BE" w14:textId="77777777" w:rsidR="00661D5B" w:rsidRPr="0053003D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6921931" w14:textId="77777777" w:rsidR="00661D5B" w:rsidRDefault="00661D5B">
            <w:pPr>
              <w:rPr>
                <w:sz w:val="2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14:paraId="4DDD24FF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7E12D51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4945EBB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B0311C3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FCD39E9" w14:textId="77777777" w:rsidR="00661D5B" w:rsidRDefault="00661D5B" w:rsidP="00C91EE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</w:p>
          <w:p w14:paraId="1F3371D8" w14:textId="77777777" w:rsidR="00661D5B" w:rsidRPr="0053003D" w:rsidRDefault="00661D5B" w:rsidP="00C91EE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  <w:p w14:paraId="13A328EA" w14:textId="77777777" w:rsidR="00661D5B" w:rsidRPr="0053003D" w:rsidRDefault="00661D5B" w:rsidP="00C91EE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  <w:p w14:paraId="75654A62" w14:textId="77777777" w:rsidR="00661D5B" w:rsidRPr="0053003D" w:rsidRDefault="00661D5B" w:rsidP="00C91EE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  <w:p w14:paraId="49E38657" w14:textId="77777777" w:rsidR="00661D5B" w:rsidRPr="0053003D" w:rsidRDefault="00661D5B" w:rsidP="00C91EE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  <w:p w14:paraId="38A59172" w14:textId="77777777" w:rsidR="00661D5B" w:rsidRPr="0053003D" w:rsidRDefault="00661D5B" w:rsidP="00C91EE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  <w:p w14:paraId="42C99416" w14:textId="77777777" w:rsidR="00661D5B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A42E962" w14:textId="77777777" w:rsidR="00661D5B" w:rsidRPr="0053003D" w:rsidRDefault="00661D5B" w:rsidP="00C91EE1">
            <w:pPr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</w:p>
          <w:p w14:paraId="040022D5" w14:textId="77777777" w:rsidR="00661D5B" w:rsidRPr="0053003D" w:rsidRDefault="00661D5B" w:rsidP="00C91EE1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</w:p>
          <w:p w14:paraId="1444EAC5" w14:textId="77777777" w:rsidR="00661D5B" w:rsidRPr="0053003D" w:rsidRDefault="00661D5B" w:rsidP="00C91EE1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</w:p>
          <w:p w14:paraId="32EF538B" w14:textId="77777777" w:rsidR="00661D5B" w:rsidRPr="0053003D" w:rsidRDefault="00661D5B" w:rsidP="00C91EE1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</w:p>
          <w:p w14:paraId="2264DC61" w14:textId="77777777" w:rsidR="00661D5B" w:rsidRPr="0053003D" w:rsidRDefault="00661D5B" w:rsidP="00C91EE1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</w:p>
          <w:p w14:paraId="126749C3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F856D1F" w14:textId="77777777" w:rsidR="00661D5B" w:rsidRPr="0053003D" w:rsidRDefault="00661D5B" w:rsidP="00C91EE1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  <w:p w14:paraId="5CB80957" w14:textId="77777777" w:rsidR="00661D5B" w:rsidRDefault="00661D5B">
            <w:pPr>
              <w:rPr>
                <w:sz w:val="2"/>
              </w:rPr>
            </w:pPr>
          </w:p>
        </w:tc>
      </w:tr>
      <w:tr w:rsidR="00661D5B" w:rsidRPr="00817AB1" w14:paraId="4245AD89" w14:textId="77777777" w:rsidTr="00C91EE1">
        <w:tc>
          <w:tcPr>
            <w:tcW w:w="3397" w:type="dxa"/>
          </w:tcPr>
          <w:p w14:paraId="2D612ED4" w14:textId="42384E79" w:rsidR="00661D5B" w:rsidRPr="0053003D" w:rsidRDefault="00CD3B1D" w:rsidP="00C91EE1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 xml:space="preserve">Regulatory and Assurance Accountant (D) </w:t>
            </w:r>
          </w:p>
          <w:p w14:paraId="044E4C2B" w14:textId="77777777" w:rsidR="00661D5B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524B0AB" w14:textId="51A154C5" w:rsidR="002A0B17" w:rsidRDefault="002A0B17" w:rsidP="00C91E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The RAC is a regulated </w:t>
            </w:r>
            <w:r w:rsidR="00041452">
              <w:rPr>
                <w:rFonts w:asciiTheme="minorHAnsi" w:hAnsiTheme="minorHAnsi"/>
                <w:sz w:val="18"/>
                <w:szCs w:val="18"/>
              </w:rPr>
              <w:t xml:space="preserve">public interest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business that has responsibilities to a number of </w:t>
            </w:r>
            <w:r w:rsidR="00041452">
              <w:rPr>
                <w:rFonts w:asciiTheme="minorHAnsi" w:hAnsiTheme="minorHAnsi"/>
                <w:sz w:val="18"/>
                <w:szCs w:val="18"/>
              </w:rPr>
              <w:t>external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bodies, alongside standard governance and compliance responsibilities. </w:t>
            </w:r>
          </w:p>
          <w:p w14:paraId="109D3490" w14:textId="77777777" w:rsidR="002A0B17" w:rsidRDefault="002A0B17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B62683F" w14:textId="22788C87" w:rsidR="00BB26A8" w:rsidRDefault="00BB26A8" w:rsidP="00C91E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The Regulatory and Assurance Accountant </w:t>
            </w:r>
            <w:r w:rsidR="00EA3D03">
              <w:rPr>
                <w:rFonts w:asciiTheme="minorHAnsi" w:hAnsiTheme="minorHAnsi"/>
                <w:sz w:val="18"/>
                <w:szCs w:val="18"/>
              </w:rPr>
              <w:t>will be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 key member of the Group Finance team and have responsib</w:t>
            </w:r>
            <w:r w:rsidR="00EA3D03">
              <w:rPr>
                <w:rFonts w:asciiTheme="minorHAnsi" w:hAnsiTheme="minorHAnsi"/>
                <w:sz w:val="18"/>
                <w:szCs w:val="18"/>
              </w:rPr>
              <w:t xml:space="preserve">ility for the </w:t>
            </w:r>
            <w:r w:rsidR="00EA3D03" w:rsidRPr="00041452">
              <w:rPr>
                <w:rFonts w:asciiTheme="minorHAnsi" w:hAnsiTheme="minorHAnsi"/>
                <w:sz w:val="18"/>
                <w:szCs w:val="18"/>
              </w:rPr>
              <w:t>financial co</w:t>
            </w:r>
            <w:r w:rsidR="00041452" w:rsidRPr="00041452">
              <w:rPr>
                <w:rFonts w:asciiTheme="minorHAnsi" w:hAnsiTheme="minorHAnsi"/>
                <w:sz w:val="18"/>
                <w:szCs w:val="18"/>
              </w:rPr>
              <w:t>mpliance</w:t>
            </w:r>
            <w:r w:rsidR="00EA3D03">
              <w:rPr>
                <w:rFonts w:asciiTheme="minorHAnsi" w:hAnsiTheme="minorHAnsi"/>
                <w:sz w:val="18"/>
                <w:szCs w:val="18"/>
              </w:rPr>
              <w:t xml:space="preserve"> and regulatory reporting and for participating in managing the Group control environment while also expected to assist with other ad-hoc tasks as required within the wider Group finance team. </w:t>
            </w:r>
          </w:p>
          <w:p w14:paraId="0B1936FF" w14:textId="77777777" w:rsidR="00BB26A8" w:rsidRPr="0053003D" w:rsidRDefault="00BB26A8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5F1C99C" w14:textId="59434845" w:rsidR="00661D5B" w:rsidRPr="0053003D" w:rsidRDefault="00661D5B" w:rsidP="00EA3D0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12" w:type="dxa"/>
          </w:tcPr>
          <w:p w14:paraId="17D02477" w14:textId="77777777" w:rsidR="00661D5B" w:rsidRPr="00CD3B1D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D3B1D">
              <w:rPr>
                <w:rFonts w:asciiTheme="minorHAnsi" w:hAnsiTheme="minorHAnsi"/>
                <w:b/>
                <w:sz w:val="18"/>
                <w:szCs w:val="18"/>
              </w:rPr>
              <w:t xml:space="preserve">Accountabilities </w:t>
            </w:r>
          </w:p>
          <w:p w14:paraId="2713A4F3" w14:textId="77777777" w:rsidR="00661D5B" w:rsidRPr="00CD3B1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DA09C0F" w14:textId="1DBE6B6B" w:rsidR="00661D5B" w:rsidRPr="00CD3B1D" w:rsidRDefault="00CD3B1D" w:rsidP="00C91EE1">
            <w:pPr>
              <w:pStyle w:val="Default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Financial Co</w:t>
            </w:r>
            <w:r w:rsidR="00041452">
              <w:rPr>
                <w:b/>
                <w:bCs/>
                <w:sz w:val="18"/>
                <w:szCs w:val="18"/>
                <w:u w:val="single"/>
              </w:rPr>
              <w:t>mpliance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and Regulatory </w:t>
            </w:r>
            <w:r w:rsidRPr="00CD3B1D">
              <w:rPr>
                <w:b/>
                <w:bCs/>
                <w:sz w:val="18"/>
                <w:szCs w:val="18"/>
                <w:u w:val="single"/>
              </w:rPr>
              <w:t>Reporting</w:t>
            </w:r>
          </w:p>
          <w:p w14:paraId="0D62F555" w14:textId="77777777" w:rsidR="00CD3B1D" w:rsidRDefault="00CD3B1D" w:rsidP="008D38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Preparing regular</w:t>
            </w:r>
            <w:r w:rsidRPr="00CD3B1D">
              <w:rPr>
                <w:rFonts w:asciiTheme="minorHAnsi" w:hAnsiTheme="minorHAnsi"/>
                <w:sz w:val="18"/>
                <w:szCs w:val="18"/>
              </w:rPr>
              <w:t xml:space="preserve"> financial regulatory reporting to the FCA and PRA </w:t>
            </w:r>
          </w:p>
          <w:p w14:paraId="255B1334" w14:textId="77777777" w:rsidR="00041452" w:rsidRDefault="00041452" w:rsidP="000414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Preparing Board reporting for our regulated entities and being responsible for reporting to the Risk &amp; Audit Committee on our regulatory compliance </w:t>
            </w:r>
          </w:p>
          <w:p w14:paraId="058FB45C" w14:textId="690EAF16" w:rsidR="00661D5B" w:rsidRDefault="00041452" w:rsidP="008D38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Liaising with internal stakeholders to understand and manage the impact of business decisions on our regulated entities </w:t>
            </w:r>
          </w:p>
          <w:p w14:paraId="3C6A7C39" w14:textId="0308EE36" w:rsidR="00041452" w:rsidRDefault="00041452" w:rsidP="008D38E1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Owning the financial accounting for some / all of the regulated entities</w:t>
            </w:r>
          </w:p>
          <w:p w14:paraId="16BB9964" w14:textId="77777777" w:rsidR="00041452" w:rsidRPr="00CD3B1D" w:rsidRDefault="00041452" w:rsidP="000414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CD3B1D">
              <w:rPr>
                <w:rFonts w:asciiTheme="minorHAnsi" w:hAnsiTheme="minorHAnsi"/>
                <w:sz w:val="18"/>
                <w:szCs w:val="18"/>
              </w:rPr>
              <w:t>Having a strong understanding of the Group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financing structure including financial </w:t>
            </w:r>
            <w:r w:rsidRPr="00CD3B1D">
              <w:rPr>
                <w:rFonts w:asciiTheme="minorHAnsi" w:hAnsiTheme="minorHAnsi"/>
                <w:sz w:val="18"/>
                <w:szCs w:val="18"/>
              </w:rPr>
              <w:t>covenant requirements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and</w:t>
            </w:r>
            <w:r w:rsidRPr="00CD3B1D">
              <w:rPr>
                <w:rFonts w:asciiTheme="minorHAnsi" w:hAnsiTheme="minorHAnsi"/>
                <w:sz w:val="18"/>
                <w:szCs w:val="18"/>
              </w:rPr>
              <w:t xml:space="preserve"> leading on the preparation of compliance reporting for both mandatory periodic reports and for refinancing </w:t>
            </w:r>
            <w:r>
              <w:rPr>
                <w:rFonts w:asciiTheme="minorHAnsi" w:hAnsiTheme="minorHAnsi"/>
                <w:sz w:val="18"/>
                <w:szCs w:val="18"/>
              </w:rPr>
              <w:t>activities</w:t>
            </w:r>
          </w:p>
          <w:p w14:paraId="595F53C4" w14:textId="11947483" w:rsidR="00CD3B1D" w:rsidRPr="00CD3B1D" w:rsidRDefault="00CD3B1D" w:rsidP="00CD3B1D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CD3B1D">
              <w:rPr>
                <w:rFonts w:asciiTheme="minorHAnsi" w:hAnsiTheme="minorHAnsi"/>
                <w:sz w:val="18"/>
                <w:szCs w:val="18"/>
              </w:rPr>
              <w:t>Monitoring governance changes, and assess</w:t>
            </w:r>
            <w:r>
              <w:rPr>
                <w:rFonts w:asciiTheme="minorHAnsi" w:hAnsiTheme="minorHAnsi"/>
                <w:sz w:val="18"/>
                <w:szCs w:val="18"/>
              </w:rPr>
              <w:t>ing</w:t>
            </w:r>
            <w:r w:rsidRPr="00CD3B1D">
              <w:rPr>
                <w:rFonts w:asciiTheme="minorHAnsi" w:hAnsiTheme="minorHAnsi"/>
                <w:sz w:val="18"/>
                <w:szCs w:val="18"/>
              </w:rPr>
              <w:t xml:space="preserve"> the </w:t>
            </w:r>
            <w:r w:rsidR="00041452">
              <w:rPr>
                <w:rFonts w:asciiTheme="minorHAnsi" w:hAnsiTheme="minorHAnsi"/>
                <w:sz w:val="18"/>
                <w:szCs w:val="18"/>
              </w:rPr>
              <w:t xml:space="preserve">financial </w:t>
            </w:r>
            <w:r w:rsidRPr="00CD3B1D">
              <w:rPr>
                <w:rFonts w:asciiTheme="minorHAnsi" w:hAnsiTheme="minorHAnsi"/>
                <w:sz w:val="18"/>
                <w:szCs w:val="18"/>
              </w:rPr>
              <w:t>impact on the Group</w:t>
            </w:r>
          </w:p>
          <w:p w14:paraId="15A80CB6" w14:textId="77777777" w:rsidR="00661D5B" w:rsidRPr="00CD3B1D" w:rsidRDefault="00661D5B" w:rsidP="00C91EE1">
            <w:pPr>
              <w:ind w:left="360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14:paraId="6AFC590A" w14:textId="32DB6407" w:rsidR="00661D5B" w:rsidRPr="00CD3B1D" w:rsidRDefault="00CD3B1D" w:rsidP="00C91EE1">
            <w:pPr>
              <w:pStyle w:val="Default"/>
              <w:rPr>
                <w:b/>
                <w:bCs/>
                <w:sz w:val="18"/>
                <w:szCs w:val="18"/>
                <w:u w:val="single"/>
              </w:rPr>
            </w:pPr>
            <w:r w:rsidRPr="00CD3B1D">
              <w:rPr>
                <w:b/>
                <w:bCs/>
                <w:sz w:val="18"/>
                <w:szCs w:val="18"/>
                <w:u w:val="single"/>
              </w:rPr>
              <w:t>Financial Control</w:t>
            </w:r>
          </w:p>
          <w:p w14:paraId="6A57E0A0" w14:textId="2357A436" w:rsidR="00661D5B" w:rsidRPr="00CD3B1D" w:rsidRDefault="00CD3B1D" w:rsidP="00CD3B1D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 w:rsidRPr="00CD3B1D">
              <w:rPr>
                <w:rFonts w:asciiTheme="minorHAnsi" w:hAnsiTheme="minorHAnsi"/>
                <w:bCs/>
                <w:sz w:val="18"/>
                <w:szCs w:val="18"/>
              </w:rPr>
              <w:t>Driving forward a Group wide controls improvement initiative, including liaising with other RAC department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s</w:t>
            </w:r>
            <w:r w:rsidR="00041452">
              <w:rPr>
                <w:rFonts w:asciiTheme="minorHAnsi" w:hAnsiTheme="minorHAnsi"/>
                <w:bCs/>
                <w:sz w:val="18"/>
                <w:szCs w:val="18"/>
              </w:rPr>
              <w:t xml:space="preserve"> including IT</w:t>
            </w:r>
            <w:r w:rsidRPr="00CD3B1D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041452">
              <w:rPr>
                <w:rFonts w:asciiTheme="minorHAnsi" w:hAnsiTheme="minorHAnsi"/>
                <w:bCs/>
                <w:sz w:val="18"/>
                <w:szCs w:val="18"/>
              </w:rPr>
              <w:t>and Risk</w:t>
            </w:r>
          </w:p>
          <w:p w14:paraId="43DB2338" w14:textId="530E74FC" w:rsidR="00CD3B1D" w:rsidRPr="00CD3B1D" w:rsidRDefault="00CD3B1D" w:rsidP="00CD3B1D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CD3B1D">
              <w:rPr>
                <w:rFonts w:asciiTheme="minorHAnsi" w:hAnsiTheme="minorHAnsi"/>
                <w:sz w:val="18"/>
                <w:szCs w:val="18"/>
              </w:rPr>
              <w:t xml:space="preserve">Recommending and implementing improvements in Group’s financial control environment </w:t>
            </w:r>
            <w:r>
              <w:rPr>
                <w:rFonts w:asciiTheme="minorHAnsi" w:hAnsiTheme="minorHAnsi"/>
                <w:sz w:val="18"/>
                <w:szCs w:val="18"/>
              </w:rPr>
              <w:t>including the identification of control deficiencies</w:t>
            </w:r>
          </w:p>
          <w:p w14:paraId="646DFED0" w14:textId="77777777" w:rsidR="00041452" w:rsidRPr="00041452" w:rsidRDefault="00CD3B1D" w:rsidP="000414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 w:rsidRPr="00CD3B1D">
              <w:rPr>
                <w:rFonts w:asciiTheme="minorHAnsi" w:hAnsiTheme="minorHAnsi"/>
                <w:bCs/>
                <w:sz w:val="18"/>
                <w:szCs w:val="18"/>
              </w:rPr>
              <w:t>Work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ing</w:t>
            </w:r>
            <w:r w:rsidRPr="00CD3B1D">
              <w:rPr>
                <w:rFonts w:asciiTheme="minorHAnsi" w:hAnsiTheme="minorHAnsi"/>
                <w:bCs/>
                <w:sz w:val="18"/>
                <w:szCs w:val="18"/>
              </w:rPr>
              <w:t xml:space="preserve"> closely with external auditors as part of their controls testing, supporting with the provision of evidence and agreement on recommendations</w:t>
            </w:r>
          </w:p>
          <w:p w14:paraId="1A226649" w14:textId="2875AD11" w:rsidR="00041452" w:rsidRPr="00041452" w:rsidRDefault="00041452" w:rsidP="000414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Owning the monitoring and testing plan including undertaking periodic testing and working with other departments and external stakeholders as appropriate </w:t>
            </w:r>
          </w:p>
          <w:p w14:paraId="32BDCBEC" w14:textId="378F8E29" w:rsidR="00041452" w:rsidRPr="00CD3B1D" w:rsidRDefault="00041452" w:rsidP="000414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 w:rsidRPr="00CD3B1D">
              <w:rPr>
                <w:rFonts w:asciiTheme="minorHAnsi" w:hAnsiTheme="minorHAnsi"/>
                <w:bCs/>
                <w:sz w:val="18"/>
                <w:szCs w:val="18"/>
              </w:rPr>
              <w:t>Lead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ing</w:t>
            </w:r>
            <w:r w:rsidRPr="00CD3B1D">
              <w:rPr>
                <w:rFonts w:asciiTheme="minorHAnsi" w:hAnsiTheme="minorHAnsi"/>
                <w:bCs/>
                <w:sz w:val="18"/>
                <w:szCs w:val="18"/>
              </w:rPr>
              <w:t xml:space="preserve"> on providing a Board summary of the financial controls environment on a regular basis </w:t>
            </w:r>
          </w:p>
          <w:p w14:paraId="2681E4A7" w14:textId="6D45F5F5" w:rsidR="00CD3B1D" w:rsidRPr="00CD3B1D" w:rsidRDefault="00041452" w:rsidP="000414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 w:rsidRPr="00CD3B1D">
              <w:rPr>
                <w:rFonts w:asciiTheme="minorHAnsi" w:hAnsiTheme="minorHAnsi"/>
                <w:sz w:val="18"/>
                <w:szCs w:val="18"/>
              </w:rPr>
              <w:t>Monitor</w:t>
            </w:r>
            <w:r>
              <w:rPr>
                <w:rFonts w:asciiTheme="minorHAnsi" w:hAnsiTheme="minorHAnsi"/>
                <w:sz w:val="18"/>
                <w:szCs w:val="18"/>
              </w:rPr>
              <w:t>ing</w:t>
            </w:r>
            <w:r w:rsidRPr="00CD3B1D">
              <w:rPr>
                <w:rFonts w:asciiTheme="minorHAnsi" w:hAnsiTheme="minorHAnsi"/>
                <w:sz w:val="18"/>
                <w:szCs w:val="18"/>
              </w:rPr>
              <w:t xml:space="preserve"> governance changes, alongside industry best practice and propos</w:t>
            </w:r>
            <w:r>
              <w:rPr>
                <w:rFonts w:asciiTheme="minorHAnsi" w:hAnsiTheme="minorHAnsi"/>
                <w:sz w:val="18"/>
                <w:szCs w:val="18"/>
              </w:rPr>
              <w:t>ing</w:t>
            </w:r>
            <w:r w:rsidRPr="00CD3B1D">
              <w:rPr>
                <w:rFonts w:asciiTheme="minorHAnsi" w:hAnsiTheme="minorHAnsi"/>
                <w:sz w:val="18"/>
                <w:szCs w:val="18"/>
              </w:rPr>
              <w:t xml:space="preserve"> changes to internal control environment accordingly</w:t>
            </w:r>
          </w:p>
        </w:tc>
        <w:tc>
          <w:tcPr>
            <w:tcW w:w="2977" w:type="dxa"/>
          </w:tcPr>
          <w:p w14:paraId="602DB062" w14:textId="77777777" w:rsidR="00661D5B" w:rsidRPr="00CD3B1D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3003D">
              <w:rPr>
                <w:rFonts w:asciiTheme="minorHAnsi" w:hAnsiTheme="minorHAnsi"/>
                <w:b/>
                <w:bCs/>
                <w:sz w:val="18"/>
                <w:szCs w:val="18"/>
              </w:rPr>
              <w:t>Qualifications, Skills, Specialist Knowledge &amp; Experienc</w:t>
            </w:r>
            <w:r w:rsidRPr="00CD3B1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e </w:t>
            </w:r>
          </w:p>
          <w:p w14:paraId="53D49803" w14:textId="015FA311" w:rsidR="00661D5B" w:rsidRPr="00CD3B1D" w:rsidRDefault="00CD3B1D" w:rsidP="00CD3B1D">
            <w:pPr>
              <w:numPr>
                <w:ilvl w:val="0"/>
                <w:numId w:val="5"/>
              </w:numPr>
              <w:rPr>
                <w:rFonts w:asciiTheme="minorHAnsi" w:hAnsiTheme="minorHAnsi"/>
                <w:bCs/>
                <w:sz w:val="18"/>
                <w:szCs w:val="18"/>
              </w:rPr>
            </w:pPr>
            <w:r w:rsidRPr="00CD3B1D">
              <w:rPr>
                <w:rFonts w:asciiTheme="minorHAnsi" w:hAnsiTheme="minorHAnsi"/>
                <w:bCs/>
                <w:sz w:val="18"/>
                <w:szCs w:val="18"/>
              </w:rPr>
              <w:t xml:space="preserve">Relevant professional accountancy qualification (e.g. ACA, ACCA, CIMA)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preferably with 1-year post qualification experience</w:t>
            </w:r>
          </w:p>
          <w:p w14:paraId="5EEDBC77" w14:textId="397D389F" w:rsidR="008D38E1" w:rsidRPr="00CD3B1D" w:rsidRDefault="00CD3B1D" w:rsidP="00CD3B1D">
            <w:pPr>
              <w:numPr>
                <w:ilvl w:val="0"/>
                <w:numId w:val="5"/>
              </w:numPr>
              <w:rPr>
                <w:rFonts w:asciiTheme="minorHAnsi" w:hAnsiTheme="minorHAnsi"/>
                <w:bCs/>
                <w:sz w:val="18"/>
                <w:szCs w:val="18"/>
              </w:rPr>
            </w:pPr>
            <w:r w:rsidRPr="00CD3B1D">
              <w:rPr>
                <w:rFonts w:asciiTheme="minorHAnsi" w:hAnsiTheme="minorHAnsi"/>
                <w:bCs/>
                <w:sz w:val="18"/>
                <w:szCs w:val="18"/>
              </w:rPr>
              <w:t xml:space="preserve">Strong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knowledge of financial </w:t>
            </w:r>
            <w:r w:rsidRPr="00CD3B1D">
              <w:rPr>
                <w:rFonts w:asciiTheme="minorHAnsi" w:hAnsiTheme="minorHAnsi"/>
                <w:bCs/>
                <w:sz w:val="18"/>
                <w:szCs w:val="18"/>
              </w:rPr>
              <w:t>regulations and accounting principles with IFRS experience</w:t>
            </w:r>
          </w:p>
          <w:p w14:paraId="1C9F2981" w14:textId="6383A78A" w:rsidR="00661D5B" w:rsidRPr="00CD3B1D" w:rsidRDefault="00CD3B1D" w:rsidP="00CD3B1D">
            <w:pPr>
              <w:numPr>
                <w:ilvl w:val="0"/>
                <w:numId w:val="5"/>
              </w:numPr>
              <w:rPr>
                <w:rFonts w:asciiTheme="minorHAnsi" w:hAnsiTheme="minorHAnsi"/>
                <w:bCs/>
                <w:sz w:val="18"/>
                <w:szCs w:val="18"/>
              </w:rPr>
            </w:pPr>
            <w:r w:rsidRPr="00CD3B1D">
              <w:rPr>
                <w:rFonts w:asciiTheme="minorHAnsi" w:hAnsiTheme="minorHAnsi"/>
                <w:bCs/>
                <w:sz w:val="18"/>
                <w:szCs w:val="18"/>
              </w:rPr>
              <w:t xml:space="preserve">Excellent attention to detail </w:t>
            </w:r>
          </w:p>
          <w:p w14:paraId="5F359F11" w14:textId="5D5FF47B" w:rsidR="00CD3B1D" w:rsidRPr="00CD3B1D" w:rsidRDefault="00CD3B1D" w:rsidP="00CD3B1D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CD3B1D">
              <w:rPr>
                <w:rFonts w:asciiTheme="minorHAnsi" w:hAnsiTheme="minorHAnsi"/>
                <w:bCs/>
                <w:sz w:val="18"/>
                <w:szCs w:val="18"/>
              </w:rPr>
              <w:t xml:space="preserve">Experience of managing to tight deadlines </w:t>
            </w:r>
          </w:p>
          <w:p w14:paraId="21080073" w14:textId="45330B9E" w:rsidR="00661D5B" w:rsidRPr="00CD3B1D" w:rsidRDefault="00661D5B" w:rsidP="00CD3B1D">
            <w:pPr>
              <w:numPr>
                <w:ilvl w:val="0"/>
                <w:numId w:val="5"/>
              </w:numPr>
              <w:rPr>
                <w:rFonts w:asciiTheme="minorHAnsi" w:hAnsiTheme="minorHAnsi"/>
                <w:bCs/>
                <w:sz w:val="18"/>
                <w:szCs w:val="18"/>
              </w:rPr>
            </w:pPr>
            <w:r w:rsidRPr="00CD3B1D">
              <w:rPr>
                <w:rFonts w:asciiTheme="minorHAnsi" w:hAnsiTheme="minorHAnsi"/>
                <w:bCs/>
                <w:sz w:val="18"/>
                <w:szCs w:val="18"/>
              </w:rPr>
              <w:t>Excellent organisational skills</w:t>
            </w:r>
          </w:p>
          <w:p w14:paraId="4B05F34D" w14:textId="77777777" w:rsidR="00661D5B" w:rsidRPr="00CD3B1D" w:rsidRDefault="00661D5B" w:rsidP="00CD3B1D">
            <w:pPr>
              <w:numPr>
                <w:ilvl w:val="0"/>
                <w:numId w:val="5"/>
              </w:numPr>
              <w:rPr>
                <w:rFonts w:asciiTheme="minorHAnsi" w:hAnsiTheme="minorHAnsi"/>
                <w:bCs/>
                <w:sz w:val="18"/>
                <w:szCs w:val="18"/>
              </w:rPr>
            </w:pPr>
            <w:r w:rsidRPr="00CD3B1D">
              <w:rPr>
                <w:rFonts w:asciiTheme="minorHAnsi" w:hAnsiTheme="minorHAnsi"/>
                <w:bCs/>
                <w:sz w:val="18"/>
                <w:szCs w:val="18"/>
              </w:rPr>
              <w:t>Ability to assimilate information and make decisions quickly</w:t>
            </w:r>
          </w:p>
          <w:p w14:paraId="3E539B4D" w14:textId="77777777" w:rsidR="00661D5B" w:rsidRPr="00CD3B1D" w:rsidRDefault="00661D5B" w:rsidP="00CD3B1D">
            <w:pPr>
              <w:numPr>
                <w:ilvl w:val="0"/>
                <w:numId w:val="5"/>
              </w:numPr>
              <w:rPr>
                <w:rFonts w:asciiTheme="minorHAnsi" w:hAnsiTheme="minorHAnsi"/>
                <w:bCs/>
                <w:sz w:val="18"/>
                <w:szCs w:val="18"/>
              </w:rPr>
            </w:pPr>
            <w:r w:rsidRPr="00CD3B1D">
              <w:rPr>
                <w:rFonts w:asciiTheme="minorHAnsi" w:hAnsiTheme="minorHAnsi"/>
                <w:bCs/>
                <w:sz w:val="18"/>
                <w:szCs w:val="18"/>
              </w:rPr>
              <w:t>Hands on and eye for detail</w:t>
            </w:r>
          </w:p>
          <w:p w14:paraId="2879BA02" w14:textId="77777777" w:rsidR="00661D5B" w:rsidRPr="00CD3B1D" w:rsidRDefault="00661D5B" w:rsidP="00CD3B1D">
            <w:pPr>
              <w:numPr>
                <w:ilvl w:val="0"/>
                <w:numId w:val="5"/>
              </w:numPr>
              <w:rPr>
                <w:rFonts w:asciiTheme="minorHAnsi" w:hAnsiTheme="minorHAnsi"/>
                <w:bCs/>
                <w:sz w:val="18"/>
                <w:szCs w:val="18"/>
              </w:rPr>
            </w:pPr>
            <w:r w:rsidRPr="00CD3B1D">
              <w:rPr>
                <w:rFonts w:asciiTheme="minorHAnsi" w:hAnsiTheme="minorHAnsi"/>
                <w:bCs/>
                <w:sz w:val="18"/>
                <w:szCs w:val="18"/>
              </w:rPr>
              <w:t>Able to challenge constructively</w:t>
            </w:r>
          </w:p>
          <w:p w14:paraId="439D5B59" w14:textId="2D27C496" w:rsidR="00CD3B1D" w:rsidRPr="00CD3B1D" w:rsidRDefault="00CD3B1D" w:rsidP="00CD3B1D">
            <w:pPr>
              <w:numPr>
                <w:ilvl w:val="0"/>
                <w:numId w:val="5"/>
              </w:numPr>
              <w:rPr>
                <w:rFonts w:ascii="DINRoundOT" w:hAnsi="DINRoundOT" w:cs="DINRoundOT"/>
                <w:b/>
                <w:sz w:val="18"/>
                <w:szCs w:val="16"/>
              </w:rPr>
            </w:pPr>
            <w:r w:rsidRPr="00CD3B1D">
              <w:rPr>
                <w:rFonts w:ascii="DINRoundOT" w:hAnsi="DINRoundOT" w:cs="DINRoundOT"/>
                <w:bCs/>
                <w:sz w:val="18"/>
                <w:szCs w:val="16"/>
              </w:rPr>
              <w:t>Exceptional communication and stakeholder management</w:t>
            </w:r>
            <w:r>
              <w:rPr>
                <w:rFonts w:ascii="DINRoundOT" w:hAnsi="DINRoundOT" w:cs="DINRoundOT"/>
                <w:bCs/>
                <w:sz w:val="18"/>
                <w:szCs w:val="16"/>
              </w:rPr>
              <w:t xml:space="preserve"> skills</w:t>
            </w:r>
          </w:p>
          <w:p w14:paraId="1134D089" w14:textId="13F1F053" w:rsidR="00CD3B1D" w:rsidRPr="00DE2DE7" w:rsidRDefault="00CD3B1D" w:rsidP="00CD3B1D">
            <w:pPr>
              <w:numPr>
                <w:ilvl w:val="0"/>
                <w:numId w:val="5"/>
              </w:numPr>
              <w:rPr>
                <w:rFonts w:ascii="DINRoundOT" w:hAnsi="DINRoundOT" w:cs="DINRoundOT"/>
                <w:b/>
                <w:sz w:val="18"/>
                <w:szCs w:val="16"/>
              </w:rPr>
            </w:pPr>
            <w:r w:rsidRPr="00DE2DE7">
              <w:rPr>
                <w:rFonts w:ascii="DINRoundOT" w:hAnsi="DINRoundOT" w:cs="DINRoundOT"/>
                <w:sz w:val="18"/>
                <w:szCs w:val="16"/>
              </w:rPr>
              <w:t>Demonstrates ability to work independently with confidence and conviction</w:t>
            </w:r>
          </w:p>
          <w:p w14:paraId="49FD37B1" w14:textId="77777777" w:rsidR="00661D5B" w:rsidRPr="0053003D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3003D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</w:p>
          <w:p w14:paraId="124E4D22" w14:textId="77777777" w:rsidR="00661D5B" w:rsidRPr="0053003D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0F1BDEF" w14:textId="77777777" w:rsidR="00661D5B" w:rsidRPr="0053003D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5105696" w14:textId="77777777" w:rsidR="00661D5B" w:rsidRPr="0053003D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ED68D63" w14:textId="77777777" w:rsidR="00661D5B" w:rsidRPr="0053003D" w:rsidRDefault="00661D5B" w:rsidP="00C91E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02" w:type="dxa"/>
          </w:tcPr>
          <w:p w14:paraId="17FAE117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  <w:r w:rsidRPr="0053003D">
              <w:rPr>
                <w:rFonts w:asciiTheme="minorHAnsi" w:hAnsiTheme="minorHAnsi"/>
                <w:b/>
                <w:bCs/>
                <w:sz w:val="18"/>
                <w:szCs w:val="18"/>
              </w:rPr>
              <w:t>Competencies &amp; Behaviours</w:t>
            </w:r>
          </w:p>
          <w:p w14:paraId="0E99E5D5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  <w:r w:rsidRPr="0053003D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  <w:p w14:paraId="4112D1E1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  <w:r w:rsidRPr="0053003D">
              <w:rPr>
                <w:rFonts w:asciiTheme="minorHAnsi" w:hAnsiTheme="minorHAnsi"/>
                <w:sz w:val="18"/>
                <w:szCs w:val="18"/>
              </w:rPr>
              <w:t>Need to exhibit behaviours consistent with RAC core values and competencies.</w:t>
            </w:r>
          </w:p>
          <w:p w14:paraId="0A0A72BE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  <w:r w:rsidRPr="0053003D">
              <w:rPr>
                <w:rFonts w:asciiTheme="minorHAnsi" w:hAnsiTheme="minorHAnsi"/>
                <w:sz w:val="18"/>
                <w:szCs w:val="18"/>
              </w:rPr>
              <w:t> </w:t>
            </w:r>
          </w:p>
          <w:p w14:paraId="4DE099DF" w14:textId="77777777" w:rsidR="00661D5B" w:rsidRPr="00CD3B1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  <w:r w:rsidRPr="00CD3B1D">
              <w:rPr>
                <w:rFonts w:asciiTheme="minorHAnsi" w:hAnsiTheme="minorHAnsi"/>
                <w:sz w:val="18"/>
                <w:szCs w:val="18"/>
              </w:rPr>
              <w:t>Key competencies:</w:t>
            </w:r>
          </w:p>
          <w:p w14:paraId="585DE8EA" w14:textId="3F5CED2F" w:rsidR="00661D5B" w:rsidRPr="00CD3B1D" w:rsidRDefault="00661D5B" w:rsidP="00661D5B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Theme="minorHAnsi" w:hAnsiTheme="minorHAnsi"/>
                <w:sz w:val="18"/>
                <w:szCs w:val="18"/>
              </w:rPr>
            </w:pPr>
            <w:r w:rsidRPr="00CD3B1D">
              <w:rPr>
                <w:rFonts w:asciiTheme="minorHAnsi" w:hAnsiTheme="minorHAnsi"/>
                <w:sz w:val="18"/>
                <w:szCs w:val="18"/>
              </w:rPr>
              <w:t xml:space="preserve">Achievement Drive – Level </w:t>
            </w:r>
            <w:r w:rsidR="00CD3B1D" w:rsidRPr="00CD3B1D">
              <w:rPr>
                <w:rFonts w:asciiTheme="minorHAnsi" w:hAnsiTheme="minorHAnsi"/>
                <w:sz w:val="18"/>
                <w:szCs w:val="18"/>
              </w:rPr>
              <w:t>4</w:t>
            </w:r>
          </w:p>
          <w:p w14:paraId="25BD2F7A" w14:textId="11F779C8" w:rsidR="00661D5B" w:rsidRPr="00CD3B1D" w:rsidRDefault="00661D5B" w:rsidP="00661D5B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Theme="minorHAnsi" w:hAnsiTheme="minorHAnsi"/>
                <w:sz w:val="18"/>
                <w:szCs w:val="18"/>
              </w:rPr>
            </w:pPr>
            <w:r w:rsidRPr="00CD3B1D">
              <w:rPr>
                <w:rFonts w:asciiTheme="minorHAnsi" w:hAnsiTheme="minorHAnsi"/>
                <w:sz w:val="18"/>
                <w:szCs w:val="18"/>
              </w:rPr>
              <w:t xml:space="preserve">Commercial Awareness – Level </w:t>
            </w:r>
            <w:r w:rsidR="00CD3B1D" w:rsidRPr="00CD3B1D">
              <w:rPr>
                <w:rFonts w:asciiTheme="minorHAnsi" w:hAnsiTheme="minorHAnsi"/>
                <w:sz w:val="18"/>
                <w:szCs w:val="18"/>
              </w:rPr>
              <w:t>4</w:t>
            </w:r>
          </w:p>
          <w:p w14:paraId="65D32652" w14:textId="6402BAF0" w:rsidR="00661D5B" w:rsidRPr="00CD3B1D" w:rsidRDefault="00661D5B" w:rsidP="00661D5B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Theme="minorHAnsi" w:hAnsiTheme="minorHAnsi"/>
                <w:sz w:val="18"/>
                <w:szCs w:val="18"/>
              </w:rPr>
            </w:pPr>
            <w:r w:rsidRPr="00CD3B1D">
              <w:rPr>
                <w:rFonts w:asciiTheme="minorHAnsi" w:hAnsiTheme="minorHAnsi"/>
                <w:sz w:val="18"/>
                <w:szCs w:val="18"/>
              </w:rPr>
              <w:t xml:space="preserve">Judgement &amp; Decision-Making – Level </w:t>
            </w:r>
            <w:r w:rsidR="00CD3B1D" w:rsidRPr="00CD3B1D">
              <w:rPr>
                <w:rFonts w:asciiTheme="minorHAnsi" w:hAnsiTheme="minorHAnsi"/>
                <w:sz w:val="18"/>
                <w:szCs w:val="18"/>
              </w:rPr>
              <w:t>4</w:t>
            </w:r>
          </w:p>
          <w:p w14:paraId="7072112C" w14:textId="0D53B20B" w:rsidR="00661D5B" w:rsidRPr="00CD3B1D" w:rsidRDefault="00661D5B" w:rsidP="00661D5B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Theme="minorHAnsi" w:hAnsiTheme="minorHAnsi"/>
                <w:sz w:val="18"/>
                <w:szCs w:val="18"/>
              </w:rPr>
            </w:pPr>
            <w:r w:rsidRPr="00CD3B1D">
              <w:rPr>
                <w:rFonts w:asciiTheme="minorHAnsi" w:hAnsiTheme="minorHAnsi"/>
                <w:sz w:val="18"/>
                <w:szCs w:val="18"/>
              </w:rPr>
              <w:t xml:space="preserve">Interpersonal &amp; Influencing Skills – Level </w:t>
            </w:r>
            <w:r w:rsidR="00CD3B1D" w:rsidRPr="00CD3B1D">
              <w:rPr>
                <w:rFonts w:asciiTheme="minorHAnsi" w:hAnsiTheme="minorHAnsi"/>
                <w:sz w:val="18"/>
                <w:szCs w:val="18"/>
              </w:rPr>
              <w:t>4</w:t>
            </w:r>
          </w:p>
          <w:p w14:paraId="6309A8B6" w14:textId="1E58D9E4" w:rsidR="00661D5B" w:rsidRPr="00CD3B1D" w:rsidRDefault="00661D5B" w:rsidP="00661D5B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Theme="minorHAnsi" w:hAnsiTheme="minorHAnsi"/>
                <w:sz w:val="18"/>
                <w:szCs w:val="18"/>
              </w:rPr>
            </w:pPr>
            <w:r w:rsidRPr="00CD3B1D">
              <w:rPr>
                <w:rFonts w:asciiTheme="minorHAnsi" w:hAnsiTheme="minorHAnsi"/>
                <w:sz w:val="18"/>
                <w:szCs w:val="18"/>
              </w:rPr>
              <w:t xml:space="preserve">Continuous Improvement – Level </w:t>
            </w:r>
            <w:r w:rsidR="00CD3B1D" w:rsidRPr="00CD3B1D">
              <w:rPr>
                <w:rFonts w:asciiTheme="minorHAnsi" w:hAnsiTheme="minorHAnsi"/>
                <w:sz w:val="18"/>
                <w:szCs w:val="18"/>
              </w:rPr>
              <w:t>4</w:t>
            </w:r>
          </w:p>
          <w:p w14:paraId="6F222589" w14:textId="77777777" w:rsidR="00661D5B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C06F767" w14:textId="77777777" w:rsidR="00661D5B" w:rsidRPr="00185C7B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  <w:r w:rsidRPr="00185C7B">
              <w:rPr>
                <w:rFonts w:asciiTheme="minorHAnsi" w:hAnsiTheme="minorHAnsi"/>
                <w:sz w:val="18"/>
                <w:szCs w:val="18"/>
              </w:rPr>
              <w:t>Hero Values</w:t>
            </w:r>
          </w:p>
          <w:p w14:paraId="024DF3ED" w14:textId="77777777" w:rsidR="00661D5B" w:rsidRPr="00185C7B" w:rsidRDefault="00661D5B" w:rsidP="00661D5B">
            <w:pPr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185C7B">
              <w:rPr>
                <w:rFonts w:asciiTheme="minorHAnsi" w:hAnsiTheme="minorHAnsi"/>
                <w:sz w:val="18"/>
                <w:szCs w:val="18"/>
              </w:rPr>
              <w:t>Handle it Together</w:t>
            </w:r>
          </w:p>
          <w:p w14:paraId="039385D8" w14:textId="77777777" w:rsidR="00661D5B" w:rsidRPr="00185C7B" w:rsidRDefault="00661D5B" w:rsidP="00661D5B">
            <w:pPr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185C7B">
              <w:rPr>
                <w:rFonts w:asciiTheme="minorHAnsi" w:hAnsiTheme="minorHAnsi"/>
                <w:sz w:val="18"/>
                <w:szCs w:val="18"/>
              </w:rPr>
              <w:t>Exceptional Service</w:t>
            </w:r>
          </w:p>
          <w:p w14:paraId="4D827288" w14:textId="77777777" w:rsidR="00661D5B" w:rsidRPr="00185C7B" w:rsidRDefault="00661D5B" w:rsidP="00661D5B">
            <w:pPr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185C7B">
              <w:rPr>
                <w:rFonts w:asciiTheme="minorHAnsi" w:hAnsiTheme="minorHAnsi"/>
                <w:sz w:val="18"/>
                <w:szCs w:val="18"/>
              </w:rPr>
              <w:t>Raise the Bar</w:t>
            </w:r>
          </w:p>
          <w:p w14:paraId="2070ABAF" w14:textId="77777777" w:rsidR="00661D5B" w:rsidRPr="00185C7B" w:rsidRDefault="00661D5B" w:rsidP="00661D5B">
            <w:pPr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185C7B">
              <w:rPr>
                <w:rFonts w:asciiTheme="minorHAnsi" w:hAnsiTheme="minorHAnsi"/>
                <w:sz w:val="18"/>
                <w:szCs w:val="18"/>
              </w:rPr>
              <w:t>Own It</w:t>
            </w:r>
          </w:p>
          <w:p w14:paraId="1D770C6D" w14:textId="77777777" w:rsidR="00661D5B" w:rsidRPr="0053003D" w:rsidRDefault="00661D5B" w:rsidP="00C91E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B247FBF" w14:textId="77777777" w:rsidR="00661D5B" w:rsidRPr="0053003D" w:rsidRDefault="00661D5B" w:rsidP="00C91EE1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1"/>
    </w:tbl>
    <w:p w14:paraId="1ACFDB9C" w14:textId="484FA39F" w:rsidR="00B04024" w:rsidRDefault="00B04024" w:rsidP="00AD1394">
      <w:pPr>
        <w:rPr>
          <w:rFonts w:ascii="Arial" w:hAnsi="Arial"/>
        </w:rPr>
      </w:pPr>
    </w:p>
    <w:sectPr w:rsidR="00B04024" w:rsidSect="00557394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 BT">
    <w:altName w:val="Corbe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9A1"/>
    <w:multiLevelType w:val="hybridMultilevel"/>
    <w:tmpl w:val="95D0E420"/>
    <w:lvl w:ilvl="0" w:tplc="34DC29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F4D0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3417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CAA6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D2CF6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7CD8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FEA12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72AD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4DAD8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A243E10"/>
    <w:multiLevelType w:val="hybridMultilevel"/>
    <w:tmpl w:val="3EFC9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7689D"/>
    <w:multiLevelType w:val="hybridMultilevel"/>
    <w:tmpl w:val="37504F5A"/>
    <w:lvl w:ilvl="0" w:tplc="C4964A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6503D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EAEC0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428C4A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B96BF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18AE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E8809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C1EF9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92E7A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666470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DF56BE"/>
    <w:multiLevelType w:val="hybridMultilevel"/>
    <w:tmpl w:val="EFE231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32E4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37AB8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B4A27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6ECAB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9146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4AC03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4CA8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69A4B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4DF73412"/>
    <w:multiLevelType w:val="hybridMultilevel"/>
    <w:tmpl w:val="B158FBAA"/>
    <w:lvl w:ilvl="0" w:tplc="66C4F8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B9CA4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C5CCF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EF212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7020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7482F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D3825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A526B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8C9E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61972702"/>
    <w:multiLevelType w:val="hybridMultilevel"/>
    <w:tmpl w:val="636CBE18"/>
    <w:lvl w:ilvl="0" w:tplc="2BA6CA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9ECE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86AF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712DB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73E5B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76BE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4101A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8E87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7567F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70B11169"/>
    <w:multiLevelType w:val="singleLevel"/>
    <w:tmpl w:val="224AF8C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66C614A"/>
    <w:multiLevelType w:val="hybridMultilevel"/>
    <w:tmpl w:val="26B65F4C"/>
    <w:lvl w:ilvl="0" w:tplc="7968F4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50E8B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4C63A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2708E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D7290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0CE84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32E14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66215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FAD3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702679542">
    <w:abstractNumId w:val="7"/>
  </w:num>
  <w:num w:numId="2" w16cid:durableId="901137728">
    <w:abstractNumId w:val="2"/>
  </w:num>
  <w:num w:numId="3" w16cid:durableId="1978486631">
    <w:abstractNumId w:val="0"/>
  </w:num>
  <w:num w:numId="4" w16cid:durableId="963465733">
    <w:abstractNumId w:val="8"/>
  </w:num>
  <w:num w:numId="5" w16cid:durableId="768424561">
    <w:abstractNumId w:val="4"/>
  </w:num>
  <w:num w:numId="6" w16cid:durableId="277032726">
    <w:abstractNumId w:val="5"/>
  </w:num>
  <w:num w:numId="7" w16cid:durableId="1276408679">
    <w:abstractNumId w:val="6"/>
  </w:num>
  <w:num w:numId="8" w16cid:durableId="1181167102">
    <w:abstractNumId w:val="1"/>
  </w:num>
  <w:num w:numId="9" w16cid:durableId="148905179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A4"/>
    <w:rsid w:val="00007129"/>
    <w:rsid w:val="000247AE"/>
    <w:rsid w:val="00041452"/>
    <w:rsid w:val="00042715"/>
    <w:rsid w:val="000D782E"/>
    <w:rsid w:val="00112893"/>
    <w:rsid w:val="0013108B"/>
    <w:rsid w:val="00141BB9"/>
    <w:rsid w:val="00143F1F"/>
    <w:rsid w:val="00170048"/>
    <w:rsid w:val="00185C7B"/>
    <w:rsid w:val="00196DA6"/>
    <w:rsid w:val="001A4DFB"/>
    <w:rsid w:val="001E1A91"/>
    <w:rsid w:val="001F2144"/>
    <w:rsid w:val="001F38B3"/>
    <w:rsid w:val="00203C5B"/>
    <w:rsid w:val="00252BCC"/>
    <w:rsid w:val="0026268C"/>
    <w:rsid w:val="002A0B17"/>
    <w:rsid w:val="002C0A1E"/>
    <w:rsid w:val="003049CE"/>
    <w:rsid w:val="0032229E"/>
    <w:rsid w:val="003617D7"/>
    <w:rsid w:val="00365720"/>
    <w:rsid w:val="00366399"/>
    <w:rsid w:val="003A1B2B"/>
    <w:rsid w:val="003C54DA"/>
    <w:rsid w:val="003D52AA"/>
    <w:rsid w:val="003E5E05"/>
    <w:rsid w:val="003F3A9E"/>
    <w:rsid w:val="003F4487"/>
    <w:rsid w:val="003F7CED"/>
    <w:rsid w:val="00447779"/>
    <w:rsid w:val="0048798C"/>
    <w:rsid w:val="004B25D1"/>
    <w:rsid w:val="004F4721"/>
    <w:rsid w:val="00507F16"/>
    <w:rsid w:val="00525A6C"/>
    <w:rsid w:val="0053003D"/>
    <w:rsid w:val="00557394"/>
    <w:rsid w:val="005604C8"/>
    <w:rsid w:val="0056102B"/>
    <w:rsid w:val="00595678"/>
    <w:rsid w:val="005A3974"/>
    <w:rsid w:val="006145EA"/>
    <w:rsid w:val="00627D28"/>
    <w:rsid w:val="00634177"/>
    <w:rsid w:val="00644489"/>
    <w:rsid w:val="00661D5B"/>
    <w:rsid w:val="006750B2"/>
    <w:rsid w:val="0068430C"/>
    <w:rsid w:val="006945A7"/>
    <w:rsid w:val="006A034E"/>
    <w:rsid w:val="006F1FCF"/>
    <w:rsid w:val="00720D71"/>
    <w:rsid w:val="00745F48"/>
    <w:rsid w:val="00752B5E"/>
    <w:rsid w:val="00766573"/>
    <w:rsid w:val="00772537"/>
    <w:rsid w:val="00773FE4"/>
    <w:rsid w:val="007B56E3"/>
    <w:rsid w:val="007C6648"/>
    <w:rsid w:val="007D015F"/>
    <w:rsid w:val="007D78C1"/>
    <w:rsid w:val="007E1F05"/>
    <w:rsid w:val="007E23D5"/>
    <w:rsid w:val="00800859"/>
    <w:rsid w:val="00810227"/>
    <w:rsid w:val="00817AB1"/>
    <w:rsid w:val="0084407B"/>
    <w:rsid w:val="008526F8"/>
    <w:rsid w:val="00863909"/>
    <w:rsid w:val="008A18C3"/>
    <w:rsid w:val="008D38E1"/>
    <w:rsid w:val="00977928"/>
    <w:rsid w:val="00982EFE"/>
    <w:rsid w:val="009B08F7"/>
    <w:rsid w:val="009B4A59"/>
    <w:rsid w:val="009C13E3"/>
    <w:rsid w:val="009C5DFD"/>
    <w:rsid w:val="009C7883"/>
    <w:rsid w:val="009D21FC"/>
    <w:rsid w:val="009F72EF"/>
    <w:rsid w:val="00A11486"/>
    <w:rsid w:val="00A42F14"/>
    <w:rsid w:val="00A67890"/>
    <w:rsid w:val="00A864D9"/>
    <w:rsid w:val="00A905F3"/>
    <w:rsid w:val="00AD1394"/>
    <w:rsid w:val="00AD5C8B"/>
    <w:rsid w:val="00B026AF"/>
    <w:rsid w:val="00B04024"/>
    <w:rsid w:val="00B22EA9"/>
    <w:rsid w:val="00B45484"/>
    <w:rsid w:val="00B6369A"/>
    <w:rsid w:val="00B85DC4"/>
    <w:rsid w:val="00BA36B1"/>
    <w:rsid w:val="00BA4E02"/>
    <w:rsid w:val="00BB26A8"/>
    <w:rsid w:val="00BB295D"/>
    <w:rsid w:val="00BB4020"/>
    <w:rsid w:val="00BB6955"/>
    <w:rsid w:val="00BD0A10"/>
    <w:rsid w:val="00BD59D7"/>
    <w:rsid w:val="00BE5826"/>
    <w:rsid w:val="00C22FF0"/>
    <w:rsid w:val="00C51460"/>
    <w:rsid w:val="00C52E3D"/>
    <w:rsid w:val="00CB4A1A"/>
    <w:rsid w:val="00CD3B1D"/>
    <w:rsid w:val="00CD7F9F"/>
    <w:rsid w:val="00D00E1A"/>
    <w:rsid w:val="00D010E0"/>
    <w:rsid w:val="00D206FF"/>
    <w:rsid w:val="00D412F1"/>
    <w:rsid w:val="00D509E1"/>
    <w:rsid w:val="00D703E7"/>
    <w:rsid w:val="00D73705"/>
    <w:rsid w:val="00DC59F0"/>
    <w:rsid w:val="00E007E1"/>
    <w:rsid w:val="00E1540D"/>
    <w:rsid w:val="00E21360"/>
    <w:rsid w:val="00E32155"/>
    <w:rsid w:val="00E52600"/>
    <w:rsid w:val="00E96195"/>
    <w:rsid w:val="00EA3D03"/>
    <w:rsid w:val="00EF013E"/>
    <w:rsid w:val="00EF1E63"/>
    <w:rsid w:val="00F02234"/>
    <w:rsid w:val="00F247B8"/>
    <w:rsid w:val="00F26681"/>
    <w:rsid w:val="00F45AC7"/>
    <w:rsid w:val="00F636A4"/>
    <w:rsid w:val="00F95D8F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31F01"/>
  <w15:docId w15:val="{56B544E3-D3E5-4589-9F4B-6619210D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394"/>
    <w:rPr>
      <w:rFonts w:ascii="NewsGoth BT" w:hAnsi="NewsGoth BT"/>
      <w:kern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739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557394"/>
    <w:pPr>
      <w:spacing w:after="120"/>
      <w:ind w:left="283"/>
    </w:pPr>
    <w:rPr>
      <w:sz w:val="16"/>
    </w:rPr>
  </w:style>
  <w:style w:type="paragraph" w:styleId="ListParagraph">
    <w:name w:val="List Paragraph"/>
    <w:basedOn w:val="Normal"/>
    <w:uiPriority w:val="34"/>
    <w:qFormat/>
    <w:rsid w:val="001E1A91"/>
    <w:pPr>
      <w:ind w:left="720"/>
      <w:contextualSpacing/>
    </w:pPr>
  </w:style>
  <w:style w:type="paragraph" w:customStyle="1" w:styleId="Bullet">
    <w:name w:val="Bullet"/>
    <w:basedOn w:val="Normal"/>
    <w:rsid w:val="00772537"/>
    <w:pPr>
      <w:numPr>
        <w:numId w:val="1"/>
      </w:numPr>
    </w:pPr>
    <w:rPr>
      <w:rFonts w:ascii="Arial" w:hAnsi="Arial"/>
      <w:lang w:eastAsia="en-US"/>
    </w:rPr>
  </w:style>
  <w:style w:type="paragraph" w:customStyle="1" w:styleId="Default">
    <w:name w:val="Default"/>
    <w:rsid w:val="00B636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5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6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6E3"/>
    <w:rPr>
      <w:rFonts w:ascii="NewsGoth BT" w:hAnsi="NewsGoth BT"/>
      <w:kern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6E3"/>
    <w:rPr>
      <w:rFonts w:ascii="NewsGoth BT" w:hAnsi="NewsGoth BT"/>
      <w:b/>
      <w:bCs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7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6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2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6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4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3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1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7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587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Norwich Union Insurance</vt:lpstr>
    </vt:vector>
  </TitlesOfParts>
  <Company>Norwich Union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Norwich Union Insurance</dc:title>
  <dc:subject/>
  <dc:creator>WATERSL</dc:creator>
  <cp:keywords/>
  <dc:description/>
  <cp:lastModifiedBy>Hannah Compton</cp:lastModifiedBy>
  <cp:revision>5</cp:revision>
  <cp:lastPrinted>2018-10-01T15:36:00Z</cp:lastPrinted>
  <dcterms:created xsi:type="dcterms:W3CDTF">2025-03-25T15:43:00Z</dcterms:created>
  <dcterms:modified xsi:type="dcterms:W3CDTF">2025-03-27T08:59:00Z</dcterms:modified>
</cp:coreProperties>
</file>