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F03D" w14:textId="7D95340E" w:rsidR="001A3A05" w:rsidRPr="00CF03DF" w:rsidRDefault="00EA6F6D" w:rsidP="0054693B">
      <w:pPr>
        <w:jc w:val="both"/>
        <w:rPr>
          <w:rFonts w:ascii="DINRoundOT-Light" w:hAnsi="DINRoundOT-Light" w:cs="DINRoundOT-Light"/>
          <w:sz w:val="16"/>
          <w:szCs w:val="16"/>
        </w:rPr>
      </w:pPr>
      <w:r w:rsidRPr="00CF03DF">
        <w:rPr>
          <w:rFonts w:ascii="DINRoundOT-Light" w:hAnsi="DINRoundOT-Light" w:cs="DINRoundOT-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D73E9B" wp14:editId="39C14D00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8670290" cy="422275"/>
                <wp:effectExtent l="0" t="0" r="0" b="0"/>
                <wp:wrapSquare wrapText="bothSides"/>
                <wp:docPr id="1605527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02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1325" w14:textId="26B30B43" w:rsidR="0055308F" w:rsidRPr="00A23C01" w:rsidRDefault="0055308F">
                            <w:pPr>
                              <w:rPr>
                                <w:b/>
                              </w:rPr>
                            </w:pPr>
                            <w:r w:rsidRPr="00A23C01">
                              <w:rPr>
                                <w:b/>
                              </w:rPr>
                              <w:t>Role</w:t>
                            </w:r>
                            <w:r w:rsidR="00A2729B">
                              <w:rPr>
                                <w:b/>
                              </w:rPr>
                              <w:t>:</w:t>
                            </w:r>
                            <w:r w:rsidRPr="00AD084A">
                              <w:rPr>
                                <w:b/>
                                <w:color w:val="767171"/>
                              </w:rPr>
                              <w:t xml:space="preserve"> </w:t>
                            </w:r>
                            <w:r w:rsidR="00DE16AF">
                              <w:rPr>
                                <w:b/>
                                <w:color w:val="767171"/>
                              </w:rPr>
                              <w:t>Patrol Team</w:t>
                            </w:r>
                            <w:r w:rsidRPr="00AD084A">
                              <w:rPr>
                                <w:b/>
                                <w:color w:val="767171"/>
                              </w:rPr>
                              <w:t xml:space="preserve"> Manager</w:t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Pr="00A23C01">
                              <w:rPr>
                                <w:b/>
                              </w:rPr>
                              <w:tab/>
                            </w:r>
                            <w:r w:rsidR="00A2729B"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A23C01"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A23C01">
                              <w:rPr>
                                <w:b/>
                              </w:rPr>
                              <w:t xml:space="preserve"> </w:t>
                            </w:r>
                            <w:r w:rsidR="00A2729B">
                              <w:rPr>
                                <w:b/>
                                <w:color w:val="767171"/>
                              </w:rPr>
                              <w:t>January 2024</w:t>
                            </w:r>
                          </w:p>
                          <w:p w14:paraId="474C5E1D" w14:textId="2CBEFDBA" w:rsidR="0055308F" w:rsidRDefault="00EA6F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7171"/>
                              </w:rPr>
                              <w:t>Grade</w:t>
                            </w:r>
                            <w:r w:rsidR="00A2729B">
                              <w:rPr>
                                <w:b/>
                                <w:color w:val="767171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767171"/>
                              </w:rPr>
                              <w:t xml:space="preserve"> C</w:t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55308F" w:rsidRPr="00A23C01">
                              <w:rPr>
                                <w:b/>
                              </w:rPr>
                              <w:tab/>
                            </w:r>
                            <w:r w:rsidR="00A2729B"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="0055308F" w:rsidRPr="00A23C01">
                              <w:rPr>
                                <w:b/>
                              </w:rPr>
                              <w:t xml:space="preserve">Business Unit: </w:t>
                            </w:r>
                            <w:r w:rsidR="0055308F" w:rsidRPr="00AD084A">
                              <w:rPr>
                                <w:b/>
                                <w:color w:val="767171"/>
                              </w:rPr>
                              <w:t>Roadside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D73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0;width:682.7pt;height:33.2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" strokecolor="white">
                <v:textbox style="mso-fit-shape-to-text:t">
                  <w:txbxContent>
                    <w:p w14:paraId="56D51325" w14:textId="26B30B43" w:rsidR="0055308F" w:rsidRPr="00A23C01" w:rsidRDefault="0055308F">
                      <w:pPr>
                        <w:rPr>
                          <w:b/>
                        </w:rPr>
                      </w:pPr>
                      <w:r w:rsidRPr="00A23C01">
                        <w:rPr>
                          <w:b/>
                        </w:rPr>
                        <w:t>Role</w:t>
                      </w:r>
                      <w:r w:rsidR="00A2729B">
                        <w:rPr>
                          <w:b/>
                        </w:rPr>
                        <w:t>:</w:t>
                      </w:r>
                      <w:r w:rsidRPr="00AD084A">
                        <w:rPr>
                          <w:b/>
                          <w:color w:val="767171"/>
                        </w:rPr>
                        <w:t xml:space="preserve"> </w:t>
                      </w:r>
                      <w:r w:rsidR="00DE16AF">
                        <w:rPr>
                          <w:b/>
                          <w:color w:val="767171"/>
                        </w:rPr>
                        <w:t>Patrol Team</w:t>
                      </w:r>
                      <w:r w:rsidRPr="00AD084A">
                        <w:rPr>
                          <w:b/>
                          <w:color w:val="767171"/>
                        </w:rPr>
                        <w:t xml:space="preserve"> Manager</w:t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Pr="00A23C01">
                        <w:rPr>
                          <w:b/>
                        </w:rPr>
                        <w:tab/>
                      </w:r>
                      <w:r w:rsidR="00A2729B">
                        <w:rPr>
                          <w:b/>
                        </w:rPr>
                        <w:t xml:space="preserve">                  </w:t>
                      </w:r>
                      <w:r w:rsidRPr="00A23C01"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</w:rPr>
                        <w:t>:</w:t>
                      </w:r>
                      <w:r w:rsidRPr="00A23C01">
                        <w:rPr>
                          <w:b/>
                        </w:rPr>
                        <w:t xml:space="preserve"> </w:t>
                      </w:r>
                      <w:r w:rsidR="00A2729B">
                        <w:rPr>
                          <w:b/>
                          <w:color w:val="767171"/>
                        </w:rPr>
                        <w:t>January 2024</w:t>
                      </w:r>
                    </w:p>
                    <w:p w14:paraId="474C5E1D" w14:textId="2CBEFDBA" w:rsidR="0055308F" w:rsidRDefault="00EA6F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767171"/>
                        </w:rPr>
                        <w:t>Grade</w:t>
                      </w:r>
                      <w:r w:rsidR="00A2729B">
                        <w:rPr>
                          <w:b/>
                          <w:color w:val="767171"/>
                        </w:rPr>
                        <w:t>:</w:t>
                      </w:r>
                      <w:r>
                        <w:rPr>
                          <w:b/>
                          <w:color w:val="767171"/>
                        </w:rPr>
                        <w:t xml:space="preserve"> C</w:t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55308F" w:rsidRPr="00A23C01">
                        <w:rPr>
                          <w:b/>
                        </w:rPr>
                        <w:tab/>
                      </w:r>
                      <w:r w:rsidR="00A2729B">
                        <w:rPr>
                          <w:b/>
                        </w:rPr>
                        <w:t xml:space="preserve">                                                     </w:t>
                      </w:r>
                      <w:r w:rsidR="0055308F" w:rsidRPr="00A23C01">
                        <w:rPr>
                          <w:b/>
                        </w:rPr>
                        <w:t xml:space="preserve">Business Unit: </w:t>
                      </w:r>
                      <w:r w:rsidR="0055308F" w:rsidRPr="00AD084A">
                        <w:rPr>
                          <w:b/>
                          <w:color w:val="767171"/>
                        </w:rPr>
                        <w:t>Roadside 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Y="20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  <w:gridCol w:w="3402"/>
        <w:gridCol w:w="2693"/>
      </w:tblGrid>
      <w:tr w:rsidR="00A23C01" w:rsidRPr="00CF03DF" w14:paraId="223669D4" w14:textId="77777777" w:rsidTr="00A2729B">
        <w:tc>
          <w:tcPr>
            <w:tcW w:w="3794" w:type="dxa"/>
            <w:shd w:val="clear" w:color="auto" w:fill="auto"/>
          </w:tcPr>
          <w:p w14:paraId="453411D3" w14:textId="77777777" w:rsidR="00A971E8" w:rsidRPr="00CF03DF" w:rsidRDefault="00A971E8" w:rsidP="00A2729B">
            <w:pPr>
              <w:jc w:val="both"/>
              <w:rPr>
                <w:rFonts w:ascii="DINRoundOT-Light" w:hAnsi="DINRoundOT-Light" w:cs="DINRoundOT-Light"/>
                <w:b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/>
                <w:sz w:val="16"/>
                <w:szCs w:val="16"/>
              </w:rPr>
              <w:t>Role Purpose</w:t>
            </w:r>
          </w:p>
        </w:tc>
        <w:tc>
          <w:tcPr>
            <w:tcW w:w="5812" w:type="dxa"/>
            <w:shd w:val="clear" w:color="auto" w:fill="auto"/>
          </w:tcPr>
          <w:p w14:paraId="799CB84C" w14:textId="77777777" w:rsidR="00A971E8" w:rsidRPr="00CF03DF" w:rsidRDefault="00A971E8" w:rsidP="00A2729B">
            <w:pPr>
              <w:jc w:val="both"/>
              <w:rPr>
                <w:rFonts w:ascii="DINRoundOT-Light" w:hAnsi="DINRoundOT-Light" w:cs="DINRoundOT-Light"/>
                <w:b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/>
                <w:sz w:val="16"/>
                <w:szCs w:val="16"/>
              </w:rPr>
              <w:t>Outcome</w:t>
            </w:r>
          </w:p>
        </w:tc>
        <w:tc>
          <w:tcPr>
            <w:tcW w:w="3402" w:type="dxa"/>
            <w:shd w:val="clear" w:color="auto" w:fill="auto"/>
          </w:tcPr>
          <w:p w14:paraId="0C5723FD" w14:textId="77777777" w:rsidR="00A971E8" w:rsidRPr="00CF03DF" w:rsidRDefault="00A971E8" w:rsidP="00A2729B">
            <w:pPr>
              <w:rPr>
                <w:rFonts w:ascii="DINRoundOT-Light" w:hAnsi="DINRoundOT-Light" w:cs="DINRoundOT-Light"/>
                <w:b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/>
                <w:sz w:val="16"/>
                <w:szCs w:val="16"/>
              </w:rPr>
              <w:t>Skills/Knowledge/Experience</w:t>
            </w:r>
          </w:p>
        </w:tc>
        <w:tc>
          <w:tcPr>
            <w:tcW w:w="2693" w:type="dxa"/>
            <w:shd w:val="clear" w:color="auto" w:fill="auto"/>
          </w:tcPr>
          <w:p w14:paraId="060C5570" w14:textId="77777777" w:rsidR="00A971E8" w:rsidRPr="00CF03DF" w:rsidRDefault="00A971E8" w:rsidP="00A2729B">
            <w:pPr>
              <w:rPr>
                <w:rFonts w:ascii="DINRoundOT-Light" w:hAnsi="DINRoundOT-Light" w:cs="DINRoundOT-Light"/>
                <w:b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/>
                <w:sz w:val="16"/>
                <w:szCs w:val="16"/>
              </w:rPr>
              <w:t>Capabilities/Strengths:</w:t>
            </w:r>
          </w:p>
        </w:tc>
      </w:tr>
      <w:tr w:rsidR="00A23C01" w:rsidRPr="00CF03DF" w14:paraId="6B8F1835" w14:textId="77777777" w:rsidTr="00A2729B">
        <w:tc>
          <w:tcPr>
            <w:tcW w:w="3794" w:type="dxa"/>
            <w:shd w:val="clear" w:color="auto" w:fill="auto"/>
          </w:tcPr>
          <w:p w14:paraId="1C86B013" w14:textId="77777777" w:rsidR="00B211B7" w:rsidRPr="00CF03DF" w:rsidRDefault="00B211B7" w:rsidP="00A2729B">
            <w:pPr>
              <w:pStyle w:val="NoSpacing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To lead, motivate and coach a </w:t>
            </w:r>
            <w:r w:rsidR="00DB117F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team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of patrols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to deliver the highest levels of customer service and efficiency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by creating the culture that </w:t>
            </w:r>
            <w:r w:rsidR="009061D3" w:rsidRPr="00CF03DF">
              <w:rPr>
                <w:rFonts w:ascii="DINRoundOT-Light" w:hAnsi="DINRoundOT-Light" w:cs="DINRoundOT-Light"/>
                <w:sz w:val="16"/>
                <w:szCs w:val="16"/>
              </w:rPr>
              <w:t>strives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for consistency and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improvement</w:t>
            </w:r>
          </w:p>
          <w:p w14:paraId="761D9C5F" w14:textId="77777777" w:rsidR="00B211B7" w:rsidRPr="00CF03DF" w:rsidRDefault="00B211B7" w:rsidP="00A2729B">
            <w:pPr>
              <w:pStyle w:val="NoSpacing"/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6904CFB0" w14:textId="77777777" w:rsidR="00A971E8" w:rsidRPr="00CF03DF" w:rsidRDefault="00C67DA4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Accountability for service delivery to customers breaking down in your area and ownership of an operational plan to ensure all service &amp; revenue KPI’s are achieved.  </w:t>
            </w:r>
          </w:p>
          <w:p w14:paraId="78A0716B" w14:textId="77777777" w:rsidR="00A971E8" w:rsidRPr="00CF03DF" w:rsidRDefault="00A971E8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3E2C17F2" w14:textId="77777777" w:rsidR="00A971E8" w:rsidRPr="00CF03DF" w:rsidRDefault="009E374E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To create a high level</w:t>
            </w:r>
            <w:r w:rsidR="00A971E8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of </w:t>
            </w:r>
            <w:r w:rsidR="00DB117F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communication &amp; </w:t>
            </w:r>
            <w:r w:rsidR="00A971E8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engagement </w:t>
            </w:r>
            <w:r w:rsidR="00C67DA4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with your team 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through a weekly trading </w:t>
            </w:r>
            <w:r w:rsidR="009061D3" w:rsidRPr="00CF03DF">
              <w:rPr>
                <w:rFonts w:ascii="DINRoundOT-Light" w:hAnsi="DINRoundOT-Light" w:cs="DINRoundOT-Light"/>
                <w:sz w:val="16"/>
                <w:szCs w:val="16"/>
              </w:rPr>
              <w:t>rhythm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>linking every interaction to improving customer service</w:t>
            </w:r>
          </w:p>
          <w:p w14:paraId="3C9F8557" w14:textId="77777777" w:rsidR="00A971E8" w:rsidRPr="00CF03DF" w:rsidRDefault="00A971E8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4ECB400F" w14:textId="77777777" w:rsidR="00A971E8" w:rsidRPr="00CF03DF" w:rsidRDefault="005E3F43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Work alongside</w:t>
            </w:r>
            <w:r w:rsidR="00702EE9">
              <w:rPr>
                <w:rFonts w:ascii="DINRoundOT-Light" w:hAnsi="DINRoundOT-Light" w:cs="DINRoundOT-Light"/>
                <w:sz w:val="16"/>
                <w:szCs w:val="16"/>
              </w:rPr>
              <w:t xml:space="preserve"> </w:t>
            </w:r>
            <w:r w:rsidR="00A971E8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CSC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in order to ensure </w:t>
            </w:r>
            <w:r w:rsidR="00A971E8" w:rsidRPr="00CF03DF">
              <w:rPr>
                <w:rFonts w:ascii="DINRoundOT-Light" w:hAnsi="DINRoundOT-Light" w:cs="DINRoundOT-Light"/>
                <w:sz w:val="16"/>
                <w:szCs w:val="16"/>
              </w:rPr>
              <w:t>that our Patrols are utilised to the maximum effectiveness for both cost and service</w:t>
            </w:r>
          </w:p>
          <w:p w14:paraId="6665570A" w14:textId="77777777" w:rsidR="00A971E8" w:rsidRPr="00CF03DF" w:rsidRDefault="00A971E8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58C9016F" w14:textId="77777777" w:rsidR="00A971E8" w:rsidRPr="00CF03DF" w:rsidRDefault="00A971E8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To ensure that compliance to critical processes and legislation is adhered to and to ensure that assets and expenditure is managed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effectively in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line with company policies, code of conduct and patrol </w:t>
            </w:r>
            <w:r w:rsidR="00702EE9">
              <w:rPr>
                <w:rFonts w:ascii="DINRoundOT-Light" w:hAnsi="DINRoundOT-Light" w:cs="DINRoundOT-Light"/>
                <w:sz w:val="16"/>
                <w:szCs w:val="16"/>
              </w:rPr>
              <w:t xml:space="preserve">safe working 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>standard</w:t>
            </w:r>
            <w:r w:rsidR="00702EE9">
              <w:rPr>
                <w:rFonts w:ascii="DINRoundOT-Light" w:hAnsi="DINRoundOT-Light" w:cs="DINRoundOT-Light"/>
                <w:sz w:val="16"/>
                <w:szCs w:val="16"/>
              </w:rPr>
              <w:t>s</w:t>
            </w:r>
          </w:p>
          <w:p w14:paraId="3248E142" w14:textId="77777777" w:rsidR="00B211B7" w:rsidRPr="00CF03DF" w:rsidRDefault="00B211B7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30F663F7" w14:textId="77777777" w:rsidR="004711EF" w:rsidRPr="00CF03DF" w:rsidRDefault="00DC55A7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>
              <w:rPr>
                <w:rFonts w:ascii="DINRoundOT-Light" w:hAnsi="DINRoundOT-Light" w:cs="DINRoundOT-Light"/>
                <w:sz w:val="16"/>
                <w:szCs w:val="16"/>
              </w:rPr>
              <w:t xml:space="preserve">Achieve </w:t>
            </w:r>
            <w:r w:rsidR="00D2187B">
              <w:rPr>
                <w:rFonts w:ascii="DINRoundOT-Light" w:hAnsi="DINRoundOT-Light" w:cs="DINRoundOT-Light"/>
                <w:sz w:val="16"/>
                <w:szCs w:val="16"/>
              </w:rPr>
              <w:t xml:space="preserve">required </w:t>
            </w:r>
            <w:r>
              <w:rPr>
                <w:rFonts w:ascii="DINRoundOT-Light" w:hAnsi="DINRoundOT-Light" w:cs="DINRoundOT-Light"/>
                <w:sz w:val="16"/>
                <w:szCs w:val="16"/>
              </w:rPr>
              <w:t>PTM productivity objective during</w:t>
            </w:r>
            <w:r w:rsidR="00B211B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year to help out with periods in demand</w:t>
            </w:r>
          </w:p>
          <w:p w14:paraId="7765BD0A" w14:textId="77777777" w:rsidR="00A21990" w:rsidRPr="00CF03DF" w:rsidRDefault="00A21990" w:rsidP="00A2729B">
            <w:pPr>
              <w:rPr>
                <w:rFonts w:ascii="DINRoundOT-Light" w:hAnsi="DINRoundOT-Light" w:cs="DINRoundOT-Light"/>
                <w:b/>
                <w:bCs/>
                <w:color w:val="C45911"/>
                <w:sz w:val="16"/>
                <w:szCs w:val="16"/>
              </w:rPr>
            </w:pPr>
          </w:p>
          <w:p w14:paraId="15121F52" w14:textId="77777777" w:rsidR="00A971E8" w:rsidRPr="006E79A0" w:rsidRDefault="00A971E8" w:rsidP="00A2729B">
            <w:pPr>
              <w:rPr>
                <w:rFonts w:ascii="DINRoundOT-Light" w:hAnsi="DINRoundOT-Light" w:cs="DINRoundOT-Light"/>
                <w:b/>
                <w:bCs/>
                <w:color w:val="FA5008"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bCs/>
                <w:color w:val="FA5008"/>
                <w:sz w:val="16"/>
                <w:szCs w:val="16"/>
              </w:rPr>
              <w:t>Role Dimension:</w:t>
            </w:r>
          </w:p>
          <w:p w14:paraId="73485BD6" w14:textId="77777777" w:rsidR="00E43A0B" w:rsidRDefault="009E374E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Cs/>
                <w:sz w:val="16"/>
                <w:szCs w:val="16"/>
              </w:rPr>
              <w:t>Performance Measures</w:t>
            </w:r>
          </w:p>
          <w:p w14:paraId="39F812C9" w14:textId="77777777" w:rsidR="00AA78FB" w:rsidRPr="00AA78FB" w:rsidRDefault="00AA78FB" w:rsidP="00A2729B">
            <w:pPr>
              <w:jc w:val="both"/>
              <w:rPr>
                <w:rFonts w:ascii="DINRoundOT" w:hAnsi="DINRoundOT" w:cs="DINRoundOT"/>
                <w:color w:val="000000"/>
                <w:sz w:val="17"/>
                <w:szCs w:val="17"/>
              </w:rPr>
            </w:pPr>
            <w:r w:rsidRPr="00AA78FB">
              <w:rPr>
                <w:rFonts w:ascii="DINRoundOT" w:hAnsi="DINRoundOT" w:cs="DINRoundOT"/>
                <w:color w:val="000000"/>
                <w:sz w:val="17"/>
                <w:szCs w:val="17"/>
              </w:rPr>
              <w:t>Directly accountable for a team of</w:t>
            </w:r>
            <w:r>
              <w:rPr>
                <w:rFonts w:ascii="DINRoundOT" w:hAnsi="DINRoundOT" w:cs="DINRoundOT"/>
                <w:color w:val="000000"/>
                <w:sz w:val="17"/>
                <w:szCs w:val="17"/>
              </w:rPr>
              <w:t xml:space="preserve"> circa.</w:t>
            </w:r>
            <w:r w:rsidRPr="00AA78FB">
              <w:rPr>
                <w:rFonts w:ascii="DINRoundOT" w:hAnsi="DINRoundOT" w:cs="DINRoundOT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DINRoundOT" w:hAnsi="DINRoundOT" w:cs="DINRoundOT"/>
                <w:color w:val="000000"/>
                <w:sz w:val="17"/>
                <w:szCs w:val="17"/>
              </w:rPr>
              <w:t>50</w:t>
            </w:r>
            <w:r w:rsidRPr="00AA78FB">
              <w:rPr>
                <w:rFonts w:ascii="DINRoundOT" w:hAnsi="DINRoundOT" w:cs="DINRoundOT"/>
                <w:color w:val="000000"/>
                <w:sz w:val="17"/>
                <w:szCs w:val="17"/>
              </w:rPr>
              <w:t xml:space="preserve"> Patrol</w:t>
            </w:r>
            <w:r>
              <w:rPr>
                <w:rFonts w:ascii="DINRoundOT" w:hAnsi="DINRoundOT" w:cs="DINRoundOT"/>
                <w:color w:val="000000"/>
                <w:sz w:val="17"/>
                <w:szCs w:val="17"/>
              </w:rPr>
              <w:t>s</w:t>
            </w:r>
            <w:r w:rsidRPr="00AA78FB">
              <w:rPr>
                <w:rFonts w:ascii="DINRoundOT" w:hAnsi="DINRoundOT" w:cs="DINRoundOT"/>
                <w:color w:val="000000"/>
                <w:sz w:val="17"/>
                <w:szCs w:val="17"/>
              </w:rPr>
              <w:t xml:space="preserve"> </w:t>
            </w:r>
          </w:p>
          <w:p w14:paraId="7CF56E2D" w14:textId="77777777" w:rsidR="00AA78FB" w:rsidRDefault="00AA78FB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6E90A749" w14:textId="77777777" w:rsidR="006E79A0" w:rsidRPr="00CF03DF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3E6E8DEF" w14:textId="77777777" w:rsidR="00E43A0B" w:rsidRPr="006E79A0" w:rsidRDefault="00E43A0B" w:rsidP="00A2729B">
            <w:pPr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Report to</w:t>
            </w:r>
          </w:p>
          <w:p w14:paraId="3247F1C0" w14:textId="77777777" w:rsidR="00B211B7" w:rsidRPr="00CF03DF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>
              <w:rPr>
                <w:rFonts w:ascii="DINRoundOT-Light" w:hAnsi="DINRoundOT-Light" w:cs="DINRoundOT-Light"/>
                <w:bCs/>
                <w:sz w:val="16"/>
                <w:szCs w:val="16"/>
              </w:rPr>
              <w:t xml:space="preserve">Patrol Regional Leader </w:t>
            </w:r>
          </w:p>
          <w:p w14:paraId="0D122A1F" w14:textId="77777777" w:rsidR="00A971E8" w:rsidRPr="00CF03DF" w:rsidRDefault="00A971E8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0CE692CC" w14:textId="77777777" w:rsidR="00A971E8" w:rsidRPr="006E79A0" w:rsidRDefault="00A971E8" w:rsidP="00A2729B">
            <w:pPr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Relationships:</w:t>
            </w:r>
          </w:p>
          <w:p w14:paraId="049A640B" w14:textId="77777777" w:rsidR="00E43A0B" w:rsidRPr="00CF03DF" w:rsidRDefault="00E43A0B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Build strong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internal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relationships </w:t>
            </w:r>
            <w:r w:rsidR="009061D3" w:rsidRPr="00CF03DF">
              <w:rPr>
                <w:rFonts w:ascii="DINRoundOT-Light" w:hAnsi="DINRoundOT-Light" w:cs="DINRoundOT-Light"/>
                <w:sz w:val="16"/>
                <w:szCs w:val="16"/>
              </w:rPr>
              <w:t>with colleagues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i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n: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BAC,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CSC, NRC, 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>Technical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,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HR,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Customer Care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,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Training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&amp; H&amp;S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teams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>, Adherence Managers, Technical Trainers</w:t>
            </w:r>
          </w:p>
          <w:p w14:paraId="31FCBBDC" w14:textId="77777777" w:rsidR="00A971E8" w:rsidRPr="00CF03DF" w:rsidRDefault="002B7C71" w:rsidP="00A2729B">
            <w:pPr>
              <w:jc w:val="both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External relationships with contractors, RAC garage network, preferred </w:t>
            </w:r>
            <w:r w:rsidR="006E79A0" w:rsidRPr="00CF03DF">
              <w:rPr>
                <w:rFonts w:ascii="DINRoundOT-Light" w:hAnsi="DINRoundOT-Light" w:cs="DINRoundOT-Light"/>
                <w:sz w:val="16"/>
                <w:szCs w:val="16"/>
              </w:rPr>
              <w:t>suppliers,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and </w:t>
            </w:r>
            <w:r w:rsidR="00AA78FB">
              <w:rPr>
                <w:rFonts w:ascii="DINRoundOT-Light" w:hAnsi="DINRoundOT-Light" w:cs="DINRoundOT-Light"/>
                <w:sz w:val="16"/>
                <w:szCs w:val="16"/>
              </w:rPr>
              <w:t>member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s</w:t>
            </w:r>
          </w:p>
        </w:tc>
        <w:tc>
          <w:tcPr>
            <w:tcW w:w="5812" w:type="dxa"/>
            <w:shd w:val="clear" w:color="auto" w:fill="auto"/>
          </w:tcPr>
          <w:p w14:paraId="47BFB3CC" w14:textId="77777777" w:rsidR="00A971E8" w:rsidRPr="00CF03DF" w:rsidRDefault="00A971E8" w:rsidP="00A2729B">
            <w:pPr>
              <w:jc w:val="both"/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206180E3" w14:textId="77777777" w:rsidR="005E3F43" w:rsidRPr="00CF03DF" w:rsidRDefault="005E3F43" w:rsidP="00A2729B">
            <w:pPr>
              <w:pStyle w:val="NoSpacing"/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Day to day management and accountability for a mobile work force and its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overall 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performance</w:t>
            </w:r>
          </w:p>
          <w:p w14:paraId="579A4DE5" w14:textId="77777777" w:rsidR="002B7C71" w:rsidRPr="00CF03DF" w:rsidRDefault="002B7C71" w:rsidP="00A2729B">
            <w:pPr>
              <w:pStyle w:val="NoSpacing"/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Promote a culture of motivation, and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can-do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attitude within team 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>through engagement and recognising individuals contributions, to ensure they as individuals are always improving year on year as well as the business</w:t>
            </w:r>
          </w:p>
          <w:p w14:paraId="55AB2454" w14:textId="77777777" w:rsidR="00A7289B" w:rsidRPr="00CF03DF" w:rsidRDefault="00A7289B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>To focus on</w:t>
            </w:r>
            <w:r w:rsidR="00C67DA4"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 coaching &amp;</w:t>
            </w: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 develo</w:t>
            </w:r>
            <w:r w:rsidR="00C67DA4"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ping </w:t>
            </w: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individuals to </w:t>
            </w:r>
            <w:r w:rsidR="002B7C71"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ensure all </w:t>
            </w: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>achieve the</w:t>
            </w:r>
            <w:r w:rsidR="005E3F43"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>ir</w:t>
            </w: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 </w:t>
            </w:r>
            <w:r w:rsidR="00702EE9"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>performance objectives</w:t>
            </w:r>
            <w:r w:rsidRPr="00CF03DF">
              <w:rPr>
                <w:rFonts w:ascii="DINRoundOT-Light" w:eastAsia="Calibri" w:hAnsi="DINRoundOT-Light" w:cs="DINRoundOT-Light"/>
                <w:sz w:val="16"/>
                <w:szCs w:val="16"/>
              </w:rPr>
              <w:t xml:space="preserve"> and the requirements of our customers in a highly competitive industry with high customer expectations</w:t>
            </w:r>
          </w:p>
          <w:p w14:paraId="219D9810" w14:textId="77777777" w:rsidR="00DF2AF8" w:rsidRPr="00CF03DF" w:rsidRDefault="006E79A0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>
              <w:rPr>
                <w:rFonts w:ascii="DINRoundOT-Light" w:hAnsi="DINRoundOT-Light" w:cs="DINRoundOT-Light"/>
                <w:sz w:val="16"/>
                <w:szCs w:val="16"/>
              </w:rPr>
              <w:t>A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ccountable for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year-on-year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improvements in</w:t>
            </w:r>
            <w:r w:rsidR="00A7289B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performance of Service Patrols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through 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forward planning, 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>performance management &amp; SMART objective setting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to 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ensure all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achieve both service KPI’s and our revenue plan through effective offering of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all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>our products &amp; services</w:t>
            </w:r>
          </w:p>
          <w:p w14:paraId="35DF66B8" w14:textId="77777777" w:rsidR="00C8132F" w:rsidRPr="00CF03DF" w:rsidRDefault="00C8132F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Absence &amp; attrition levels reduce year on year</w:t>
            </w:r>
          </w:p>
          <w:p w14:paraId="56747091" w14:textId="77777777" w:rsidR="00DF2AF8" w:rsidRPr="00CF03DF" w:rsidRDefault="00A7289B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To address any shortfalls in individual or team performance in an appropriate and timely manner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to ensure all KPI’s and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business </w:t>
            </w:r>
            <w:r w:rsidR="00B928E9" w:rsidRPr="00CF03DF">
              <w:rPr>
                <w:rFonts w:ascii="DINRoundOT-Light" w:hAnsi="DINRoundOT-Light" w:cs="DINRoundOT-Light"/>
                <w:sz w:val="16"/>
                <w:szCs w:val="16"/>
              </w:rPr>
              <w:t>plan are achieved</w:t>
            </w:r>
          </w:p>
          <w:p w14:paraId="4C0F4EB4" w14:textId="77777777" w:rsidR="00DF2AF8" w:rsidRPr="00CF03DF" w:rsidRDefault="00DF2AF8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To enhance the overall communication process so that relevant and timely communications flow at all levels</w:t>
            </w:r>
          </w:p>
          <w:p w14:paraId="024B3C0A" w14:textId="77777777" w:rsidR="00DF2AF8" w:rsidRPr="00CF03DF" w:rsidRDefault="00DF2AF8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To maintain and improve on all quality standards which contribute to CSI and</w:t>
            </w:r>
            <w:r w:rsidR="00C8132F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retention </w:t>
            </w:r>
            <w:r w:rsidR="009831D7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and reducing member </w:t>
            </w:r>
            <w:r w:rsidR="00835AF4" w:rsidRPr="00CF03DF">
              <w:rPr>
                <w:rFonts w:ascii="DINRoundOT-Light" w:hAnsi="DINRoundOT-Light" w:cs="DINRoundOT-Light"/>
                <w:sz w:val="16"/>
                <w:szCs w:val="16"/>
              </w:rPr>
              <w:t>complaints.</w:t>
            </w:r>
          </w:p>
          <w:p w14:paraId="1B4B0DA6" w14:textId="77777777" w:rsidR="00E43A0B" w:rsidRPr="00CF03DF" w:rsidRDefault="00E43A0B" w:rsidP="00A2729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Carry out Attendance meetings. </w:t>
            </w:r>
            <w:r w:rsidR="00EA7AAA" w:rsidRPr="00CF03DF">
              <w:rPr>
                <w:rFonts w:ascii="DINRoundOT-Light" w:hAnsi="DINRoundOT-Light" w:cs="DINRoundOT-Light"/>
                <w:sz w:val="16"/>
                <w:szCs w:val="16"/>
              </w:rPr>
              <w:t>i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nvestigation and disciplinary </w:t>
            </w:r>
            <w:r w:rsidR="00835AF4" w:rsidRPr="00CF03DF">
              <w:rPr>
                <w:rFonts w:ascii="DINRoundOT-Light" w:hAnsi="DINRoundOT-Light" w:cs="DINRoundOT-Light"/>
                <w:sz w:val="16"/>
                <w:szCs w:val="16"/>
              </w:rPr>
              <w:t>hearings,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when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necessary,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in a timely manner </w:t>
            </w:r>
          </w:p>
          <w:p w14:paraId="29574DC2" w14:textId="77777777" w:rsidR="00E43A0B" w:rsidRPr="00CF03DF" w:rsidRDefault="00E43A0B" w:rsidP="00A2729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Ensure adherence to company processes and procedures to support and enhance the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team’s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effectiveness in delivering service, including Health and Safety compliance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,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>A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sset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>M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anagement and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>L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egal </w:t>
            </w:r>
            <w:r w:rsidR="00A21990" w:rsidRPr="00CF03DF">
              <w:rPr>
                <w:rFonts w:ascii="DINRoundOT-Light" w:hAnsi="DINRoundOT-Light" w:cs="DINRoundOT-Light"/>
                <w:sz w:val="16"/>
                <w:szCs w:val="16"/>
              </w:rPr>
              <w:t>C</w:t>
            </w:r>
            <w:r w:rsidR="005E3F43" w:rsidRPr="00CF03DF">
              <w:rPr>
                <w:rFonts w:ascii="DINRoundOT-Light" w:hAnsi="DINRoundOT-Light" w:cs="DINRoundOT-Light"/>
                <w:sz w:val="16"/>
                <w:szCs w:val="16"/>
              </w:rPr>
              <w:t>ompliance</w:t>
            </w:r>
          </w:p>
          <w:p w14:paraId="154EDBA7" w14:textId="77777777" w:rsidR="00DF2AF8" w:rsidRDefault="00DB117F" w:rsidP="00A2729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contextualSpacing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Relevant time is given to the role to ensure all KPI’</w:t>
            </w:r>
            <w:r w:rsidR="00562153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s are </w:t>
            </w:r>
            <w:r w:rsidR="00835AF4" w:rsidRPr="00CF03DF">
              <w:rPr>
                <w:rFonts w:ascii="DINRoundOT-Light" w:hAnsi="DINRoundOT-Light" w:cs="DINRoundOT-Light"/>
                <w:sz w:val="16"/>
                <w:szCs w:val="16"/>
              </w:rPr>
              <w:t>achieved.</w:t>
            </w:r>
          </w:p>
          <w:p w14:paraId="0D4D56C9" w14:textId="77777777" w:rsidR="00B84170" w:rsidRDefault="00B84170" w:rsidP="00A2729B">
            <w:pPr>
              <w:jc w:val="both"/>
              <w:rPr>
                <w:rFonts w:ascii="DINRoundOT-Light" w:hAnsi="DINRoundOT-Light" w:cs="DINRoundOT-Light"/>
                <w:b/>
                <w:bCs/>
                <w:color w:val="FA5008"/>
                <w:sz w:val="16"/>
                <w:szCs w:val="16"/>
              </w:rPr>
            </w:pPr>
          </w:p>
          <w:p w14:paraId="6B070A93" w14:textId="77777777" w:rsidR="00A23C01" w:rsidRPr="006E79A0" w:rsidRDefault="004711EF" w:rsidP="00A2729B">
            <w:pPr>
              <w:jc w:val="both"/>
              <w:rPr>
                <w:rFonts w:ascii="DINRoundOT-Light" w:hAnsi="DINRoundOT-Light" w:cs="DINRoundOT-Light"/>
                <w:b/>
                <w:bCs/>
                <w:color w:val="FA5008"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bCs/>
                <w:color w:val="FA5008"/>
                <w:sz w:val="16"/>
                <w:szCs w:val="16"/>
              </w:rPr>
              <w:t>Breadth &amp; Depth of Job</w:t>
            </w:r>
          </w:p>
          <w:p w14:paraId="082D9407" w14:textId="77777777" w:rsidR="004711EF" w:rsidRPr="00CF03DF" w:rsidRDefault="004711EF" w:rsidP="00A2729B">
            <w:pPr>
              <w:pStyle w:val="BodyText3"/>
              <w:numPr>
                <w:ilvl w:val="0"/>
                <w:numId w:val="4"/>
              </w:numPr>
              <w:spacing w:after="0"/>
              <w:rPr>
                <w:rFonts w:ascii="DINRoundOT-Light" w:hAnsi="DINRoundOT-Light" w:cs="DINRoundOT-Light"/>
              </w:rPr>
            </w:pPr>
            <w:r w:rsidRPr="00CF03DF">
              <w:rPr>
                <w:rFonts w:ascii="DINRoundOT-Light" w:hAnsi="DINRoundOT-Light" w:cs="DINRoundOT-Light"/>
              </w:rPr>
              <w:t>R</w:t>
            </w:r>
            <w:r w:rsidR="009831D7" w:rsidRPr="00CF03DF">
              <w:rPr>
                <w:rFonts w:ascii="DINRoundOT-Light" w:hAnsi="DINRoundOT-Light" w:cs="DINRoundOT-Light"/>
              </w:rPr>
              <w:t xml:space="preserve">esponsible for a team of circa </w:t>
            </w:r>
            <w:r w:rsidR="00C94922">
              <w:rPr>
                <w:rFonts w:ascii="DINRoundOT-Light" w:hAnsi="DINRoundOT-Light" w:cs="DINRoundOT-Light"/>
              </w:rPr>
              <w:t xml:space="preserve">50 </w:t>
            </w:r>
            <w:r w:rsidRPr="00CF03DF">
              <w:rPr>
                <w:rFonts w:ascii="DINRoundOT-Light" w:hAnsi="DINRoundOT-Light" w:cs="DINRoundOT-Light"/>
              </w:rPr>
              <w:t xml:space="preserve">patrols </w:t>
            </w:r>
          </w:p>
          <w:p w14:paraId="5794964D" w14:textId="77777777" w:rsidR="004711EF" w:rsidRPr="00CF03DF" w:rsidRDefault="004711EF" w:rsidP="00A2729B">
            <w:pPr>
              <w:pStyle w:val="BodyText3"/>
              <w:numPr>
                <w:ilvl w:val="0"/>
                <w:numId w:val="4"/>
              </w:numPr>
              <w:spacing w:after="0"/>
              <w:rPr>
                <w:rFonts w:ascii="DINRoundOT-Light" w:hAnsi="DINRoundOT-Light" w:cs="DINRoundOT-Light"/>
              </w:rPr>
            </w:pPr>
            <w:r w:rsidRPr="00CF03DF">
              <w:rPr>
                <w:rFonts w:ascii="DINRoundOT-Light" w:hAnsi="DINRoundOT-Light" w:cs="DINRoundOT-Light"/>
              </w:rPr>
              <w:t xml:space="preserve">Accountable to ensure that Patrols are achieving required </w:t>
            </w:r>
            <w:r w:rsidR="00A21990" w:rsidRPr="00CF03DF">
              <w:rPr>
                <w:rFonts w:ascii="DINRoundOT-Light" w:hAnsi="DINRoundOT-Light" w:cs="DINRoundOT-Light"/>
              </w:rPr>
              <w:t>e</w:t>
            </w:r>
            <w:r w:rsidRPr="00CF03DF">
              <w:rPr>
                <w:rFonts w:ascii="DINRoundOT-Light" w:hAnsi="DINRoundOT-Light" w:cs="DINRoundOT-Light"/>
              </w:rPr>
              <w:t>conomic value</w:t>
            </w:r>
            <w:r w:rsidR="00DB117F" w:rsidRPr="00CF03DF">
              <w:rPr>
                <w:rFonts w:ascii="DINRoundOT-Light" w:hAnsi="DINRoundOT-Light" w:cs="DINRoundOT-Light"/>
              </w:rPr>
              <w:t xml:space="preserve"> and all </w:t>
            </w:r>
            <w:r w:rsidR="00A21990" w:rsidRPr="00CF03DF">
              <w:rPr>
                <w:rFonts w:ascii="DINRoundOT-Light" w:hAnsi="DINRoundOT-Light" w:cs="DINRoundOT-Light"/>
              </w:rPr>
              <w:t xml:space="preserve">KPI and </w:t>
            </w:r>
            <w:r w:rsidR="00DB117F" w:rsidRPr="00CF03DF">
              <w:rPr>
                <w:rFonts w:ascii="DINRoundOT-Light" w:hAnsi="DINRoundOT-Light" w:cs="DINRoundOT-Light"/>
              </w:rPr>
              <w:t>performance measures within your team</w:t>
            </w:r>
          </w:p>
          <w:p w14:paraId="7A56E5EE" w14:textId="77777777" w:rsidR="004711EF" w:rsidRPr="00CF03DF" w:rsidRDefault="00DE16AF" w:rsidP="00A2729B">
            <w:pPr>
              <w:pStyle w:val="BodyText3"/>
              <w:numPr>
                <w:ilvl w:val="0"/>
                <w:numId w:val="4"/>
              </w:numPr>
              <w:spacing w:after="0"/>
              <w:rPr>
                <w:rFonts w:ascii="DINRoundOT-Light" w:hAnsi="DINRoundOT-Light" w:cs="DINRoundOT-Light"/>
              </w:rPr>
            </w:pPr>
            <w:r w:rsidRPr="00CF03DF">
              <w:rPr>
                <w:rFonts w:ascii="DINRoundOT-Light" w:hAnsi="DINRoundOT-Light" w:cs="DINRoundOT-Light"/>
              </w:rPr>
              <w:t>Deliver</w:t>
            </w:r>
            <w:r w:rsidR="00702EE9">
              <w:rPr>
                <w:rFonts w:ascii="DINRoundOT-Light" w:hAnsi="DINRoundOT-Light" w:cs="DINRoundOT-Light"/>
              </w:rPr>
              <w:t xml:space="preserve"> against the operational </w:t>
            </w:r>
            <w:r w:rsidRPr="00CF03DF">
              <w:rPr>
                <w:rFonts w:ascii="DINRoundOT-Light" w:hAnsi="DINRoundOT-Light" w:cs="DINRoundOT-Light"/>
              </w:rPr>
              <w:t>plan for</w:t>
            </w:r>
            <w:r w:rsidR="00702EE9">
              <w:rPr>
                <w:rFonts w:ascii="DINRoundOT-Light" w:hAnsi="DINRoundOT-Light" w:cs="DINRoundOT-Light"/>
              </w:rPr>
              <w:t xml:space="preserve"> the</w:t>
            </w:r>
            <w:r w:rsidRPr="00CF03DF">
              <w:rPr>
                <w:rFonts w:ascii="DINRoundOT-Light" w:hAnsi="DINRoundOT-Light" w:cs="DINRoundOT-Light"/>
              </w:rPr>
              <w:t xml:space="preserve"> team to </w:t>
            </w:r>
            <w:r w:rsidR="009061D3" w:rsidRPr="00CF03DF">
              <w:rPr>
                <w:rFonts w:ascii="DINRoundOT-Light" w:hAnsi="DINRoundOT-Light" w:cs="DINRoundOT-Light"/>
              </w:rPr>
              <w:t>ensure</w:t>
            </w:r>
            <w:r w:rsidR="004711EF" w:rsidRPr="00CF03DF">
              <w:rPr>
                <w:rFonts w:ascii="DINRoundOT-Light" w:hAnsi="DINRoundOT-Light" w:cs="DINRoundOT-Light"/>
              </w:rPr>
              <w:t xml:space="preserve"> the best outcome for the customers</w:t>
            </w:r>
          </w:p>
        </w:tc>
        <w:tc>
          <w:tcPr>
            <w:tcW w:w="3402" w:type="dxa"/>
            <w:shd w:val="clear" w:color="auto" w:fill="auto"/>
          </w:tcPr>
          <w:p w14:paraId="72BFD31E" w14:textId="77777777" w:rsidR="00E43A0B" w:rsidRPr="00CF03DF" w:rsidRDefault="00E43A0B" w:rsidP="00A2729B">
            <w:pPr>
              <w:ind w:left="720"/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4413293F" w14:textId="77777777" w:rsidR="00E43A0B" w:rsidRPr="00CF03DF" w:rsidRDefault="009061D3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Proven</w:t>
            </w:r>
            <w:r w:rsidR="00F557E5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Leadership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skills in</w:t>
            </w:r>
            <w:r w:rsidR="00E43A0B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driving 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and delivering required </w:t>
            </w:r>
            <w:r w:rsidR="00E43A0B" w:rsidRPr="00CF03DF">
              <w:rPr>
                <w:rFonts w:ascii="DINRoundOT-Light" w:hAnsi="DINRoundOT-Light" w:cs="DINRoundOT-Light"/>
                <w:sz w:val="16"/>
                <w:szCs w:val="16"/>
              </w:rPr>
              <w:t>results</w:t>
            </w:r>
            <w:r w:rsidR="002B7C71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through a field based team</w:t>
            </w:r>
          </w:p>
          <w:p w14:paraId="2E223FC3" w14:textId="77777777" w:rsidR="00EA7AAA" w:rsidRPr="00CF03DF" w:rsidRDefault="00EA7AAA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Good level of commercial awareness</w:t>
            </w:r>
          </w:p>
          <w:p w14:paraId="72F4E890" w14:textId="77777777" w:rsidR="00EA7AAA" w:rsidRPr="00CF03DF" w:rsidRDefault="00EA7AAA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Cs/>
                <w:sz w:val="16"/>
                <w:szCs w:val="16"/>
              </w:rPr>
              <w:t xml:space="preserve">Ability to communicate </w:t>
            </w:r>
            <w:r w:rsidR="006820B7" w:rsidRPr="00CF03DF">
              <w:rPr>
                <w:rFonts w:ascii="DINRoundOT-Light" w:hAnsi="DINRoundOT-Light" w:cs="DINRoundOT-Light"/>
                <w:bCs/>
                <w:sz w:val="16"/>
                <w:szCs w:val="16"/>
              </w:rPr>
              <w:t xml:space="preserve">and influence </w:t>
            </w:r>
            <w:r w:rsidRPr="00CF03DF">
              <w:rPr>
                <w:rFonts w:ascii="DINRoundOT-Light" w:hAnsi="DINRoundOT-Light" w:cs="DINRoundOT-Light"/>
                <w:bCs/>
                <w:sz w:val="16"/>
                <w:szCs w:val="16"/>
              </w:rPr>
              <w:t>effectively with all levels of stakeholders</w:t>
            </w:r>
          </w:p>
          <w:p w14:paraId="388ADC84" w14:textId="77777777" w:rsidR="00EA7AAA" w:rsidRPr="00CF03DF" w:rsidRDefault="00EA7AAA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Cs/>
                <w:sz w:val="16"/>
                <w:szCs w:val="16"/>
              </w:rPr>
              <w:t>Proven successful coach with a broad knowledge of coaching techniques and styles.</w:t>
            </w:r>
          </w:p>
          <w:p w14:paraId="423A85B3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Good analytical skills</w:t>
            </w:r>
          </w:p>
          <w:p w14:paraId="5A280462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Strong Interpersonal and Presentation skills</w:t>
            </w:r>
          </w:p>
          <w:p w14:paraId="4C3D1412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Knowledge of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field-based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management</w:t>
            </w:r>
          </w:p>
          <w:p w14:paraId="5E37C2AA" w14:textId="77777777" w:rsidR="006F4AEF" w:rsidRPr="00CF03DF" w:rsidRDefault="006820B7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Strong d</w:t>
            </w:r>
            <w:r w:rsidR="006F4AEF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esire to deliver outstanding levels of service to </w:t>
            </w:r>
            <w:r w:rsidR="00835AF4" w:rsidRPr="00CF03DF">
              <w:rPr>
                <w:rFonts w:ascii="DINRoundOT-Light" w:hAnsi="DINRoundOT-Light" w:cs="DINRoundOT-Light"/>
                <w:sz w:val="16"/>
                <w:szCs w:val="16"/>
              </w:rPr>
              <w:t>customers.</w:t>
            </w:r>
          </w:p>
          <w:p w14:paraId="1C33E294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Demonstrates ability to motivate and develop people within a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value-based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culture</w:t>
            </w:r>
          </w:p>
          <w:p w14:paraId="0D88140C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Knowledge of breakdown products</w:t>
            </w:r>
          </w:p>
          <w:p w14:paraId="3875C064" w14:textId="77777777" w:rsidR="006F4AEF" w:rsidRPr="00CF03DF" w:rsidRDefault="006F4AEF" w:rsidP="00A2729B">
            <w:pPr>
              <w:numPr>
                <w:ilvl w:val="0"/>
                <w:numId w:val="4"/>
              </w:num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Knowledge of systems and processes</w:t>
            </w:r>
          </w:p>
          <w:p w14:paraId="1862805E" w14:textId="77777777" w:rsidR="009E374E" w:rsidRPr="00CF03DF" w:rsidRDefault="009E374E" w:rsidP="00A2729B">
            <w:pPr>
              <w:ind w:left="340"/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15E346EE" w14:textId="77777777" w:rsidR="009E374E" w:rsidRPr="006E79A0" w:rsidRDefault="009E374E" w:rsidP="00A2729B">
            <w:pPr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Qualifications/FSA:</w:t>
            </w:r>
          </w:p>
          <w:p w14:paraId="4B24D574" w14:textId="77777777" w:rsidR="009E374E" w:rsidRPr="00CF03DF" w:rsidRDefault="00120E49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>
              <w:rPr>
                <w:rFonts w:ascii="DINRoundOT-Light" w:hAnsi="DINRoundOT-Light" w:cs="DINRoundOT-Light"/>
                <w:sz w:val="16"/>
                <w:szCs w:val="16"/>
              </w:rPr>
              <w:t>G</w:t>
            </w:r>
            <w:r w:rsidR="009E374E"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ood working knowledge of FSA and compliance procedures </w:t>
            </w:r>
          </w:p>
          <w:p w14:paraId="5F1D976F" w14:textId="77777777" w:rsidR="00EC7810" w:rsidRPr="00CF03DF" w:rsidRDefault="00EC7810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0D47646E" w14:textId="77777777" w:rsidR="00325280" w:rsidRPr="00CF03DF" w:rsidRDefault="00325280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Excellent verbal and written skills </w:t>
            </w:r>
          </w:p>
          <w:p w14:paraId="06E4810B" w14:textId="77777777" w:rsidR="00EC7810" w:rsidRPr="00CF03DF" w:rsidRDefault="00EC7810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Excellent people management skills</w:t>
            </w:r>
          </w:p>
          <w:p w14:paraId="07373580" w14:textId="77777777" w:rsidR="00EC7810" w:rsidRPr="00CF03DF" w:rsidRDefault="00EC7810" w:rsidP="00A2729B">
            <w:pPr>
              <w:numPr>
                <w:ilvl w:val="0"/>
                <w:numId w:val="4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Experience of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managing field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team</w:t>
            </w:r>
          </w:p>
          <w:p w14:paraId="6C0C334F" w14:textId="77777777" w:rsidR="00A23C01" w:rsidRPr="00CF03DF" w:rsidRDefault="006820B7" w:rsidP="00A2729B">
            <w:pPr>
              <w:jc w:val="both"/>
              <w:rPr>
                <w:rFonts w:ascii="DINRoundOT-Light" w:hAnsi="DINRoundOT-Light" w:cs="DINRoundOT-Light"/>
                <w:b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b/>
                <w:sz w:val="16"/>
                <w:szCs w:val="16"/>
              </w:rPr>
              <w:t xml:space="preserve">Desirable </w:t>
            </w:r>
          </w:p>
          <w:p w14:paraId="2B19464D" w14:textId="77777777" w:rsidR="00EC7810" w:rsidRPr="00CF03DF" w:rsidRDefault="006820B7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Ability </w:t>
            </w:r>
            <w:r w:rsidR="00EC7810" w:rsidRPr="00CF03DF">
              <w:rPr>
                <w:rFonts w:ascii="DINRoundOT-Light" w:hAnsi="DINRoundOT-Light" w:cs="DINRoundOT-Light"/>
                <w:sz w:val="16"/>
                <w:szCs w:val="16"/>
              </w:rPr>
              <w:t>to work toward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s</w:t>
            </w:r>
            <w:r w:rsidR="00EC7810" w:rsidRPr="00CF03DF">
              <w:rPr>
                <w:rFonts w:ascii="DINRoundOT-Light" w:hAnsi="DINRoundOT-Light" w:cs="DINRoundOT-Light"/>
                <w:sz w:val="16"/>
                <w:szCs w:val="16"/>
              </w:rPr>
              <w:t>:</w:t>
            </w:r>
          </w:p>
          <w:p w14:paraId="03AAC155" w14:textId="77777777" w:rsidR="00EC7810" w:rsidRPr="00CF03DF" w:rsidRDefault="00EC7810" w:rsidP="00A2729B">
            <w:pPr>
              <w:numPr>
                <w:ilvl w:val="0"/>
                <w:numId w:val="6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NVQ level 4</w:t>
            </w:r>
          </w:p>
          <w:p w14:paraId="48C786B0" w14:textId="77777777" w:rsidR="00A23C01" w:rsidRPr="00CF03DF" w:rsidRDefault="00EC7810" w:rsidP="00A2729B">
            <w:pPr>
              <w:numPr>
                <w:ilvl w:val="0"/>
                <w:numId w:val="6"/>
              </w:numPr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Front Line Management  </w:t>
            </w:r>
          </w:p>
        </w:tc>
        <w:tc>
          <w:tcPr>
            <w:tcW w:w="2693" w:type="dxa"/>
            <w:shd w:val="clear" w:color="auto" w:fill="auto"/>
          </w:tcPr>
          <w:p w14:paraId="2986D93E" w14:textId="77777777" w:rsidR="00A971E8" w:rsidRPr="00CF03DF" w:rsidRDefault="00A971E8" w:rsidP="00A2729B">
            <w:pPr>
              <w:jc w:val="both"/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3548E80E" w14:textId="77777777" w:rsidR="00A23C01" w:rsidRPr="00CF03DF" w:rsidRDefault="00A23C01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Leadership - Level </w:t>
            </w:r>
            <w:r w:rsidR="00562153" w:rsidRPr="00CF03DF">
              <w:rPr>
                <w:rFonts w:ascii="DINRoundOT-Light" w:hAnsi="DINRoundOT-Light" w:cs="DINRoundOT-Light"/>
                <w:sz w:val="16"/>
                <w:szCs w:val="16"/>
              </w:rPr>
              <w:t>3</w:t>
            </w:r>
          </w:p>
          <w:p w14:paraId="48FB3455" w14:textId="77777777" w:rsidR="00A23C01" w:rsidRPr="00CF03DF" w:rsidRDefault="00A23C01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Developing Self and Other – Level </w:t>
            </w:r>
            <w:r w:rsidR="00DB117F" w:rsidRPr="00CF03DF">
              <w:rPr>
                <w:rFonts w:ascii="DINRoundOT-Light" w:hAnsi="DINRoundOT-Light" w:cs="DINRoundOT-Light"/>
                <w:sz w:val="16"/>
                <w:szCs w:val="16"/>
              </w:rPr>
              <w:t>3</w:t>
            </w:r>
          </w:p>
          <w:p w14:paraId="68137326" w14:textId="77777777" w:rsidR="00A23C01" w:rsidRPr="00CF03DF" w:rsidRDefault="006F4AEF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Achievement drive Level 3</w:t>
            </w:r>
          </w:p>
          <w:p w14:paraId="4D356394" w14:textId="77777777" w:rsidR="004A2436" w:rsidRPr="00CF03DF" w:rsidRDefault="004A2436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Interpersonal &amp; Influencing Skills – Level 3</w:t>
            </w:r>
          </w:p>
          <w:p w14:paraId="1439F863" w14:textId="77777777" w:rsidR="008C782B" w:rsidRPr="00CF03DF" w:rsidRDefault="004A2436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>Judgement and Decision Making – Level 3</w:t>
            </w:r>
          </w:p>
          <w:p w14:paraId="0EFABCB8" w14:textId="77777777" w:rsidR="00DB117F" w:rsidRPr="00CF03DF" w:rsidRDefault="00DB117F" w:rsidP="00A2729B">
            <w:pPr>
              <w:numPr>
                <w:ilvl w:val="0"/>
                <w:numId w:val="4"/>
              </w:numPr>
              <w:ind w:left="303"/>
              <w:rPr>
                <w:rFonts w:ascii="DINRoundOT-Light" w:hAnsi="DINRoundOT-Light" w:cs="DINRoundOT-Light"/>
                <w:sz w:val="16"/>
                <w:szCs w:val="16"/>
              </w:rPr>
            </w:pP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Commercial </w:t>
            </w:r>
            <w:r w:rsidR="00702EE9" w:rsidRPr="00CF03DF">
              <w:rPr>
                <w:rFonts w:ascii="DINRoundOT-Light" w:hAnsi="DINRoundOT-Light" w:cs="DINRoundOT-Light"/>
                <w:sz w:val="16"/>
                <w:szCs w:val="16"/>
              </w:rPr>
              <w:t>Awareness -</w:t>
            </w:r>
            <w:r w:rsidRPr="00CF03DF">
              <w:rPr>
                <w:rFonts w:ascii="DINRoundOT-Light" w:hAnsi="DINRoundOT-Light" w:cs="DINRoundOT-Light"/>
                <w:sz w:val="16"/>
                <w:szCs w:val="16"/>
              </w:rPr>
              <w:t xml:space="preserve"> Level 2</w:t>
            </w:r>
          </w:p>
          <w:p w14:paraId="44268EA6" w14:textId="77777777" w:rsidR="008C782B" w:rsidRPr="00CF03DF" w:rsidRDefault="008C782B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163B4BCD" w14:textId="77777777" w:rsidR="008C782B" w:rsidRPr="00CF03DF" w:rsidRDefault="008C782B" w:rsidP="00A2729B">
            <w:pPr>
              <w:rPr>
                <w:rFonts w:ascii="DINRoundOT-Light" w:hAnsi="DINRoundOT-Light" w:cs="DINRoundOT-Light"/>
                <w:sz w:val="16"/>
                <w:szCs w:val="16"/>
              </w:rPr>
            </w:pPr>
          </w:p>
          <w:p w14:paraId="7BD7B49C" w14:textId="77777777" w:rsid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Need to exhibit behaviours consistent with</w:t>
            </w:r>
            <w:r w:rsidRPr="0010722A">
              <w:rPr>
                <w:rFonts w:ascii="DINRoundOT-Light" w:hAnsi="DINRoundOT-Light" w:cs="DINRoundOT-Light"/>
                <w:bCs/>
                <w:color w:val="000000"/>
                <w:sz w:val="16"/>
                <w:szCs w:val="16"/>
              </w:rPr>
              <w:t xml:space="preserve"> RAC</w:t>
            </w: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 xml:space="preserve"> HERO</w:t>
            </w: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 xml:space="preserve"> values:</w:t>
            </w:r>
          </w:p>
          <w:p w14:paraId="1D38CD45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272788A4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H</w:t>
            </w: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andle it Together</w:t>
            </w:r>
          </w:p>
          <w:p w14:paraId="32B1B460" w14:textId="77777777" w:rsid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We work as one team; showing trust, respect, fairness and integrity</w:t>
            </w:r>
          </w:p>
          <w:p w14:paraId="66619493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488DB31A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E</w:t>
            </w: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xceptional Service</w:t>
            </w:r>
          </w:p>
          <w:p w14:paraId="7F1CD544" w14:textId="77777777" w:rsid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We deliver excellent service, every time</w:t>
            </w:r>
          </w:p>
          <w:p w14:paraId="102E9654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6649DB79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R</w:t>
            </w: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aise the Bar</w:t>
            </w:r>
          </w:p>
          <w:p w14:paraId="3A758B52" w14:textId="77777777" w:rsid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We always look for new ways to be even better</w:t>
            </w:r>
          </w:p>
          <w:p w14:paraId="4A6EA4E0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  <w:p w14:paraId="11B80849" w14:textId="77777777" w:rsidR="006E79A0" w:rsidRPr="006E79A0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/>
                <w:color w:val="FA5008"/>
                <w:sz w:val="16"/>
                <w:szCs w:val="16"/>
              </w:rPr>
              <w:t>O</w:t>
            </w: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wn It</w:t>
            </w:r>
          </w:p>
          <w:p w14:paraId="5C228301" w14:textId="77777777" w:rsidR="006E79A0" w:rsidRPr="00CF03DF" w:rsidRDefault="006E79A0" w:rsidP="00A2729B">
            <w:pPr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  <w:r w:rsidRPr="006E79A0">
              <w:rPr>
                <w:rFonts w:ascii="DINRoundOT-Light" w:hAnsi="DINRoundOT-Light" w:cs="DINRoundOT-Light"/>
                <w:bCs/>
                <w:sz w:val="16"/>
                <w:szCs w:val="16"/>
              </w:rPr>
              <w:t>We are empowered to take action</w:t>
            </w:r>
          </w:p>
          <w:p w14:paraId="330896D4" w14:textId="77777777" w:rsidR="008C782B" w:rsidRPr="00CF03DF" w:rsidRDefault="008C782B" w:rsidP="00A2729B">
            <w:pPr>
              <w:ind w:left="252"/>
              <w:rPr>
                <w:rFonts w:ascii="DINRoundOT-Light" w:hAnsi="DINRoundOT-Light" w:cs="DINRoundOT-Light"/>
                <w:bCs/>
                <w:sz w:val="16"/>
                <w:szCs w:val="16"/>
              </w:rPr>
            </w:pPr>
          </w:p>
        </w:tc>
      </w:tr>
    </w:tbl>
    <w:p w14:paraId="6BA0973F" w14:textId="77777777" w:rsidR="000D5734" w:rsidRDefault="000D5734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445EF4AC" w14:textId="77777777" w:rsidR="00EA6F6D" w:rsidRDefault="00EA6F6D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06540FB1" w14:textId="77777777" w:rsidR="00EA6F6D" w:rsidRDefault="00EA6F6D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05AAC0AC" w14:textId="77777777" w:rsidR="00EA6F6D" w:rsidRDefault="00EA6F6D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58619723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3EDD2C87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586B3E7B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74A9420A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61462B5E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3B347911" w14:textId="77777777" w:rsidR="00A2729B" w:rsidRDefault="00A2729B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226D5886" w14:textId="77777777" w:rsidR="00EA6F6D" w:rsidRDefault="00EA6F6D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p w14:paraId="405A8F3A" w14:textId="77777777" w:rsidR="00EA6F6D" w:rsidRPr="00CF03DF" w:rsidRDefault="00EA6F6D" w:rsidP="00E206B0">
      <w:pPr>
        <w:jc w:val="both"/>
        <w:rPr>
          <w:rFonts w:ascii="DINRoundOT-Light" w:hAnsi="DINRoundOT-Light" w:cs="DINRoundOT-Light"/>
          <w:sz w:val="16"/>
          <w:szCs w:val="16"/>
        </w:rPr>
      </w:pPr>
    </w:p>
    <w:sectPr w:rsidR="00EA6F6D" w:rsidRPr="00CF03DF" w:rsidSect="00E206B0">
      <w:headerReference w:type="default" r:id="rId8"/>
      <w:footerReference w:type="default" r:id="rId9"/>
      <w:headerReference w:type="first" r:id="rId10"/>
      <w:type w:val="continuous"/>
      <w:pgSz w:w="16840" w:h="11907" w:orient="landscape" w:code="9"/>
      <w:pgMar w:top="737" w:right="567" w:bottom="680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57E5" w14:textId="77777777" w:rsidR="00D941C8" w:rsidRDefault="00D941C8">
      <w:r>
        <w:separator/>
      </w:r>
    </w:p>
  </w:endnote>
  <w:endnote w:type="continuationSeparator" w:id="0">
    <w:p w14:paraId="65CF7D62" w14:textId="77777777" w:rsidR="00D941C8" w:rsidRDefault="00D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-Ligh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6BFA" w14:textId="77777777" w:rsidR="0055308F" w:rsidRPr="00B277D6" w:rsidRDefault="0055308F">
    <w:pPr>
      <w:pStyle w:val="Footer"/>
      <w:jc w:val="right"/>
      <w:rPr>
        <w:sz w:val="18"/>
      </w:rPr>
    </w:pPr>
    <w:r w:rsidRPr="00B277D6">
      <w:rPr>
        <w:sz w:val="18"/>
      </w:rPr>
      <w:fldChar w:fldCharType="begin"/>
    </w:r>
    <w:r w:rsidRPr="00B277D6">
      <w:rPr>
        <w:sz w:val="18"/>
      </w:rPr>
      <w:instrText xml:space="preserve"> PAGE   \* MERGEFORMAT </w:instrText>
    </w:r>
    <w:r w:rsidRPr="00B277D6">
      <w:rPr>
        <w:sz w:val="18"/>
      </w:rPr>
      <w:fldChar w:fldCharType="separate"/>
    </w:r>
    <w:r>
      <w:rPr>
        <w:noProof/>
        <w:sz w:val="18"/>
      </w:rPr>
      <w:t>3</w:t>
    </w:r>
    <w:r w:rsidRPr="00B277D6">
      <w:rPr>
        <w:noProof/>
        <w:sz w:val="18"/>
      </w:rPr>
      <w:fldChar w:fldCharType="end"/>
    </w:r>
  </w:p>
  <w:p w14:paraId="29E02E63" w14:textId="77777777" w:rsidR="0055308F" w:rsidRDefault="0055308F">
    <w:pPr>
      <w:pStyle w:val="Footer"/>
      <w:tabs>
        <w:tab w:val="clear" w:pos="4153"/>
        <w:tab w:val="clear" w:pos="8306"/>
        <w:tab w:val="center" w:pos="5040"/>
        <w:tab w:val="right" w:pos="10260"/>
      </w:tabs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B17B" w14:textId="77777777" w:rsidR="00D941C8" w:rsidRDefault="00D941C8">
      <w:r>
        <w:separator/>
      </w:r>
    </w:p>
  </w:footnote>
  <w:footnote w:type="continuationSeparator" w:id="0">
    <w:p w14:paraId="2A515014" w14:textId="77777777" w:rsidR="00D941C8" w:rsidRDefault="00D9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A6A3" w14:textId="0339E093" w:rsidR="0055308F" w:rsidRDefault="0055308F">
    <w:pPr>
      <w:pStyle w:val="Header"/>
      <w:tabs>
        <w:tab w:val="clear" w:pos="4153"/>
        <w:tab w:val="clear" w:pos="8306"/>
        <w:tab w:val="center" w:pos="5040"/>
        <w:tab w:val="right" w:pos="10260"/>
      </w:tabs>
      <w:rPr>
        <w:b/>
        <w:bCs/>
        <w:color w:val="333399"/>
        <w:sz w:val="34"/>
        <w:szCs w:val="34"/>
      </w:rPr>
    </w:pPr>
  </w:p>
  <w:p w14:paraId="7FADBC17" w14:textId="77777777" w:rsidR="0055308F" w:rsidRDefault="0055308F">
    <w:pPr>
      <w:pStyle w:val="Header"/>
      <w:tabs>
        <w:tab w:val="clear" w:pos="4153"/>
        <w:tab w:val="clear" w:pos="8306"/>
        <w:tab w:val="center" w:pos="5040"/>
        <w:tab w:val="right" w:pos="102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B56D" w14:textId="5AB778AC" w:rsidR="0055308F" w:rsidRDefault="0055308F" w:rsidP="00A971E8">
    <w:pPr>
      <w:pStyle w:val="Header"/>
      <w:tabs>
        <w:tab w:val="clear" w:pos="4153"/>
        <w:tab w:val="clear" w:pos="8306"/>
        <w:tab w:val="right" w:pos="15706"/>
      </w:tabs>
    </w:pPr>
    <w:r>
      <w:rPr>
        <w:noProof/>
        <w:lang w:eastAsia="en-GB"/>
      </w:rPr>
      <w:object w:dxaOrig="1440" w:dyaOrig="1440" w14:anchorId="2BDD3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733.05pt;margin-top:15.2pt;width:81.05pt;height:31.95pt;z-index:251657728;visibility:visible;mso-wrap-edited:f;mso-position-horizontal-relative:page;mso-position-vertical-relative:page">
          <v:imagedata r:id="rId1" o:title=""/>
          <w10:wrap anchorx="page" anchory="page"/>
          <w10:anchorlock/>
        </v:shape>
        <o:OLEObject Type="Embed" ProgID="Word.Picture.8" ShapeID="_x0000_s1029" DrawAspect="Content" ObjectID="_1800360498" r:id="rId2"/>
      </w:obje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89"/>
      </v:shape>
    </w:pict>
  </w:numPicBullet>
  <w:abstractNum w:abstractNumId="0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1831"/>
    <w:multiLevelType w:val="hybridMultilevel"/>
    <w:tmpl w:val="A53C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A9A"/>
    <w:multiLevelType w:val="hybridMultilevel"/>
    <w:tmpl w:val="EDF0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DAB"/>
    <w:multiLevelType w:val="hybridMultilevel"/>
    <w:tmpl w:val="161ED8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4427"/>
    <w:multiLevelType w:val="hybridMultilevel"/>
    <w:tmpl w:val="D0A0305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2652179"/>
    <w:multiLevelType w:val="hybridMultilevel"/>
    <w:tmpl w:val="9CE22AA2"/>
    <w:lvl w:ilvl="0" w:tplc="EE5A971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617D1"/>
    <w:multiLevelType w:val="hybridMultilevel"/>
    <w:tmpl w:val="B95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6E0C"/>
    <w:multiLevelType w:val="hybridMultilevel"/>
    <w:tmpl w:val="38101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80F29"/>
    <w:multiLevelType w:val="hybridMultilevel"/>
    <w:tmpl w:val="953490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8680">
    <w:abstractNumId w:val="5"/>
  </w:num>
  <w:num w:numId="2" w16cid:durableId="624117651">
    <w:abstractNumId w:val="7"/>
  </w:num>
  <w:num w:numId="3" w16cid:durableId="606278374">
    <w:abstractNumId w:val="1"/>
  </w:num>
  <w:num w:numId="4" w16cid:durableId="1193418871">
    <w:abstractNumId w:val="6"/>
  </w:num>
  <w:num w:numId="5" w16cid:durableId="462578946">
    <w:abstractNumId w:val="0"/>
  </w:num>
  <w:num w:numId="6" w16cid:durableId="1184897302">
    <w:abstractNumId w:val="4"/>
  </w:num>
  <w:num w:numId="7" w16cid:durableId="9132314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284364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52758886">
    <w:abstractNumId w:val="3"/>
  </w:num>
  <w:num w:numId="10" w16cid:durableId="208741038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C5"/>
    <w:rsid w:val="00026967"/>
    <w:rsid w:val="0004220E"/>
    <w:rsid w:val="00066881"/>
    <w:rsid w:val="00070544"/>
    <w:rsid w:val="00072F53"/>
    <w:rsid w:val="00094F84"/>
    <w:rsid w:val="000A04B9"/>
    <w:rsid w:val="000B4FD7"/>
    <w:rsid w:val="000C54CF"/>
    <w:rsid w:val="000C5822"/>
    <w:rsid w:val="000D5734"/>
    <w:rsid w:val="000E7E84"/>
    <w:rsid w:val="00101B6D"/>
    <w:rsid w:val="0010722A"/>
    <w:rsid w:val="00115770"/>
    <w:rsid w:val="00120E49"/>
    <w:rsid w:val="001232A8"/>
    <w:rsid w:val="0013236E"/>
    <w:rsid w:val="00133D67"/>
    <w:rsid w:val="00137351"/>
    <w:rsid w:val="001428C0"/>
    <w:rsid w:val="00150C8B"/>
    <w:rsid w:val="001746EC"/>
    <w:rsid w:val="001A0EE6"/>
    <w:rsid w:val="001A1668"/>
    <w:rsid w:val="001A3A05"/>
    <w:rsid w:val="001D089A"/>
    <w:rsid w:val="001D6F3F"/>
    <w:rsid w:val="001E063D"/>
    <w:rsid w:val="00232C4A"/>
    <w:rsid w:val="00245C28"/>
    <w:rsid w:val="00245D0F"/>
    <w:rsid w:val="0026031D"/>
    <w:rsid w:val="00267E7C"/>
    <w:rsid w:val="002711CF"/>
    <w:rsid w:val="00282F84"/>
    <w:rsid w:val="00297197"/>
    <w:rsid w:val="002A55D5"/>
    <w:rsid w:val="002B0783"/>
    <w:rsid w:val="002B09CA"/>
    <w:rsid w:val="002B7C71"/>
    <w:rsid w:val="002C1E90"/>
    <w:rsid w:val="002C2585"/>
    <w:rsid w:val="002D01A3"/>
    <w:rsid w:val="002E084E"/>
    <w:rsid w:val="00325280"/>
    <w:rsid w:val="003329E5"/>
    <w:rsid w:val="00397FCD"/>
    <w:rsid w:val="003D5DF4"/>
    <w:rsid w:val="004179FA"/>
    <w:rsid w:val="00420310"/>
    <w:rsid w:val="00420FC8"/>
    <w:rsid w:val="0042126C"/>
    <w:rsid w:val="004240BF"/>
    <w:rsid w:val="0043667A"/>
    <w:rsid w:val="004469AA"/>
    <w:rsid w:val="00446E70"/>
    <w:rsid w:val="004711EF"/>
    <w:rsid w:val="00492695"/>
    <w:rsid w:val="004946D6"/>
    <w:rsid w:val="004A2436"/>
    <w:rsid w:val="004A2B8D"/>
    <w:rsid w:val="004D0B1D"/>
    <w:rsid w:val="004D6EE5"/>
    <w:rsid w:val="004E5941"/>
    <w:rsid w:val="004E7E57"/>
    <w:rsid w:val="005023D3"/>
    <w:rsid w:val="00503926"/>
    <w:rsid w:val="00504BB0"/>
    <w:rsid w:val="00513471"/>
    <w:rsid w:val="005411B4"/>
    <w:rsid w:val="00541570"/>
    <w:rsid w:val="0054693B"/>
    <w:rsid w:val="00547FEC"/>
    <w:rsid w:val="005519CB"/>
    <w:rsid w:val="0055308F"/>
    <w:rsid w:val="00562153"/>
    <w:rsid w:val="00566282"/>
    <w:rsid w:val="00593FF3"/>
    <w:rsid w:val="005B057A"/>
    <w:rsid w:val="005C3261"/>
    <w:rsid w:val="005C6EBA"/>
    <w:rsid w:val="005D5C4F"/>
    <w:rsid w:val="005D6734"/>
    <w:rsid w:val="005E0C97"/>
    <w:rsid w:val="005E3F43"/>
    <w:rsid w:val="005F7054"/>
    <w:rsid w:val="00627FC8"/>
    <w:rsid w:val="00647F9E"/>
    <w:rsid w:val="0065026E"/>
    <w:rsid w:val="00656CA0"/>
    <w:rsid w:val="0065781B"/>
    <w:rsid w:val="006813E5"/>
    <w:rsid w:val="006820B7"/>
    <w:rsid w:val="0068372B"/>
    <w:rsid w:val="0069621E"/>
    <w:rsid w:val="006968B5"/>
    <w:rsid w:val="006A4739"/>
    <w:rsid w:val="006E77BC"/>
    <w:rsid w:val="006E79A0"/>
    <w:rsid w:val="006F4AEF"/>
    <w:rsid w:val="00702EE9"/>
    <w:rsid w:val="00731AEF"/>
    <w:rsid w:val="00734FA1"/>
    <w:rsid w:val="00765C1D"/>
    <w:rsid w:val="00770697"/>
    <w:rsid w:val="00792AD7"/>
    <w:rsid w:val="007A53E9"/>
    <w:rsid w:val="007E041A"/>
    <w:rsid w:val="007E508B"/>
    <w:rsid w:val="00817842"/>
    <w:rsid w:val="0083142F"/>
    <w:rsid w:val="00831523"/>
    <w:rsid w:val="00835AF4"/>
    <w:rsid w:val="0084058D"/>
    <w:rsid w:val="008610EF"/>
    <w:rsid w:val="0086690A"/>
    <w:rsid w:val="00886FA6"/>
    <w:rsid w:val="00890485"/>
    <w:rsid w:val="0089232F"/>
    <w:rsid w:val="008932A1"/>
    <w:rsid w:val="008A034C"/>
    <w:rsid w:val="008A0936"/>
    <w:rsid w:val="008B6381"/>
    <w:rsid w:val="008B740A"/>
    <w:rsid w:val="008B7889"/>
    <w:rsid w:val="008C6970"/>
    <w:rsid w:val="008C782B"/>
    <w:rsid w:val="008F4E18"/>
    <w:rsid w:val="009061D3"/>
    <w:rsid w:val="00922057"/>
    <w:rsid w:val="00931C30"/>
    <w:rsid w:val="00962F4B"/>
    <w:rsid w:val="009642E6"/>
    <w:rsid w:val="00972764"/>
    <w:rsid w:val="009831D7"/>
    <w:rsid w:val="00997DBC"/>
    <w:rsid w:val="009B71F2"/>
    <w:rsid w:val="009E16B7"/>
    <w:rsid w:val="009E374E"/>
    <w:rsid w:val="00A16949"/>
    <w:rsid w:val="00A21990"/>
    <w:rsid w:val="00A23C01"/>
    <w:rsid w:val="00A2483D"/>
    <w:rsid w:val="00A2729B"/>
    <w:rsid w:val="00A31A7C"/>
    <w:rsid w:val="00A5342B"/>
    <w:rsid w:val="00A7289B"/>
    <w:rsid w:val="00A971E8"/>
    <w:rsid w:val="00AA5040"/>
    <w:rsid w:val="00AA73EE"/>
    <w:rsid w:val="00AA78FB"/>
    <w:rsid w:val="00AA7F69"/>
    <w:rsid w:val="00AB315B"/>
    <w:rsid w:val="00AB7FCD"/>
    <w:rsid w:val="00AD084A"/>
    <w:rsid w:val="00AD2A3F"/>
    <w:rsid w:val="00AD2EC0"/>
    <w:rsid w:val="00AD5ADD"/>
    <w:rsid w:val="00AE414E"/>
    <w:rsid w:val="00AF10FE"/>
    <w:rsid w:val="00B01220"/>
    <w:rsid w:val="00B211B7"/>
    <w:rsid w:val="00B277D6"/>
    <w:rsid w:val="00B3447D"/>
    <w:rsid w:val="00B71FB5"/>
    <w:rsid w:val="00B768F5"/>
    <w:rsid w:val="00B84170"/>
    <w:rsid w:val="00B928E9"/>
    <w:rsid w:val="00BA2959"/>
    <w:rsid w:val="00BB1B0C"/>
    <w:rsid w:val="00BC5209"/>
    <w:rsid w:val="00BD6C31"/>
    <w:rsid w:val="00BF35D9"/>
    <w:rsid w:val="00C13C9D"/>
    <w:rsid w:val="00C26563"/>
    <w:rsid w:val="00C277A1"/>
    <w:rsid w:val="00C67DA4"/>
    <w:rsid w:val="00C8132F"/>
    <w:rsid w:val="00C9290F"/>
    <w:rsid w:val="00C94922"/>
    <w:rsid w:val="00CB1B3A"/>
    <w:rsid w:val="00CC7A1D"/>
    <w:rsid w:val="00CC7B47"/>
    <w:rsid w:val="00CD2C92"/>
    <w:rsid w:val="00CD62F0"/>
    <w:rsid w:val="00CE0DA5"/>
    <w:rsid w:val="00CF03DF"/>
    <w:rsid w:val="00CF1211"/>
    <w:rsid w:val="00D2187B"/>
    <w:rsid w:val="00D332A4"/>
    <w:rsid w:val="00D807E1"/>
    <w:rsid w:val="00D8188A"/>
    <w:rsid w:val="00D941C8"/>
    <w:rsid w:val="00D97022"/>
    <w:rsid w:val="00DA7E2A"/>
    <w:rsid w:val="00DB117F"/>
    <w:rsid w:val="00DC55A7"/>
    <w:rsid w:val="00DD0238"/>
    <w:rsid w:val="00DE16AF"/>
    <w:rsid w:val="00DE3DCC"/>
    <w:rsid w:val="00DE7702"/>
    <w:rsid w:val="00DF2AF8"/>
    <w:rsid w:val="00DF404F"/>
    <w:rsid w:val="00DF562B"/>
    <w:rsid w:val="00E03BEE"/>
    <w:rsid w:val="00E206B0"/>
    <w:rsid w:val="00E43A0B"/>
    <w:rsid w:val="00E47460"/>
    <w:rsid w:val="00E50E2B"/>
    <w:rsid w:val="00E5714F"/>
    <w:rsid w:val="00E631BD"/>
    <w:rsid w:val="00E64CC3"/>
    <w:rsid w:val="00E72235"/>
    <w:rsid w:val="00E72A69"/>
    <w:rsid w:val="00E760FF"/>
    <w:rsid w:val="00E97F61"/>
    <w:rsid w:val="00EA6F6D"/>
    <w:rsid w:val="00EA7AAA"/>
    <w:rsid w:val="00EC7810"/>
    <w:rsid w:val="00ED0FCA"/>
    <w:rsid w:val="00EF3401"/>
    <w:rsid w:val="00F35118"/>
    <w:rsid w:val="00F557E5"/>
    <w:rsid w:val="00F86EC5"/>
    <w:rsid w:val="00FC2531"/>
    <w:rsid w:val="00FD0E54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E6F2CB"/>
  <w15:chartTrackingRefBased/>
  <w15:docId w15:val="{B9F1B0E7-8304-4243-914B-E0C5B871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aliases w:val="CMG H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aliases w:val="CMG H2"/>
    <w:basedOn w:val="BodyText"/>
    <w:next w:val="Normal"/>
    <w:qFormat/>
    <w:pPr>
      <w:outlineLvl w:val="1"/>
    </w:pPr>
    <w:rPr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120"/>
      <w:outlineLvl w:val="2"/>
    </w:pPr>
    <w:rPr>
      <w:bCs/>
      <w:kern w:val="1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rFonts w:ascii="Arial Narrow" w:hAnsi="Arial Narrow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kern w:val="16"/>
      <w:u w:val="single"/>
    </w:rPr>
  </w:style>
  <w:style w:type="paragraph" w:customStyle="1" w:styleId="BodySingle">
    <w:name w:val="Body Single"/>
    <w:basedOn w:val="Normal"/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TitleChar">
    <w:name w:val="Title Char"/>
    <w:link w:val="Title"/>
    <w:rsid w:val="00997DBC"/>
    <w:rPr>
      <w:rFonts w:ascii="Arial" w:hAnsi="Arial" w:cs="Arial"/>
      <w:b/>
      <w:kern w:val="16"/>
      <w:sz w:val="22"/>
      <w:szCs w:val="22"/>
      <w:u w:val="single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 w:eastAsia="en-US"/>
    </w:rPr>
  </w:style>
  <w:style w:type="paragraph" w:customStyle="1" w:styleId="header0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pos="10195"/>
      </w:tabs>
      <w:spacing w:before="120"/>
    </w:pPr>
    <w:rPr>
      <w:b/>
    </w:rPr>
  </w:style>
  <w:style w:type="character" w:customStyle="1" w:styleId="t131">
    <w:name w:val="t131"/>
    <w:rPr>
      <w:color w:val="000000"/>
      <w:sz w:val="26"/>
      <w:szCs w:val="26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0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customStyle="1" w:styleId="ChRACNormal">
    <w:name w:val="!Ch RAC Normal"/>
    <w:rPr>
      <w:rFonts w:ascii="Arial" w:hAnsi="Arial"/>
      <w:dstrike w:val="0"/>
      <w:spacing w:val="0"/>
      <w:kern w:val="0"/>
      <w:sz w:val="22"/>
      <w:vertAlign w:val="baseline"/>
    </w:rPr>
  </w:style>
  <w:style w:type="paragraph" w:customStyle="1" w:styleId="RACNormal">
    <w:name w:val="!RAC Normal"/>
    <w:basedOn w:val="Normal"/>
    <w:pPr>
      <w:spacing w:after="240"/>
    </w:pPr>
    <w:rPr>
      <w:rFonts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20310"/>
    <w:pPr>
      <w:ind w:left="720"/>
    </w:pPr>
  </w:style>
  <w:style w:type="character" w:customStyle="1" w:styleId="HeaderChar">
    <w:name w:val="Header Char"/>
    <w:link w:val="Header"/>
    <w:uiPriority w:val="99"/>
    <w:rsid w:val="00492695"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F121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3329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4711EF"/>
    <w:pPr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4711EF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A728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28A0-BCA2-46A2-B220-FD0C1BE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Skills, Knowledge and Behaviours</vt:lpstr>
    </vt:vector>
  </TitlesOfParts>
  <Company>Norwich Union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Skills, Knowledge and Behaviours</dc:title>
  <dc:subject/>
  <dc:creator>SCOTTS2</dc:creator>
  <cp:keywords/>
  <cp:lastModifiedBy>Louise Williamson</cp:lastModifiedBy>
  <cp:revision>3</cp:revision>
  <cp:lastPrinted>2015-04-24T12:55:00Z</cp:lastPrinted>
  <dcterms:created xsi:type="dcterms:W3CDTF">2025-02-06T15:19:00Z</dcterms:created>
  <dcterms:modified xsi:type="dcterms:W3CDTF">2025-02-06T15:22:00Z</dcterms:modified>
</cp:coreProperties>
</file>